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北京万和公益基金会</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6"/>
          <w:szCs w:val="36"/>
          <w:lang w:val="en-US" w:eastAsia="zh-CN"/>
        </w:rPr>
        <w:t>（2021年01月01日-2021年12月31日）</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财务工作报告</w:t>
      </w:r>
    </w:p>
    <w:p>
      <w:pPr>
        <w:keepNext w:val="0"/>
        <w:keepLines w:val="0"/>
        <w:pageBreakBefore w:val="0"/>
        <w:kinsoku/>
        <w:wordWrap/>
        <w:overflowPunct/>
        <w:topLinePunct w:val="0"/>
        <w:autoSpaceDN/>
        <w:bidi w:val="0"/>
        <w:adjustRightInd/>
        <w:snapToGrid/>
        <w:spacing w:line="320" w:lineRule="exact"/>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尊敬的各位理事、监事、同志们：</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大家好！</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基金会财务工作在财政部、民政部和国家税务总局的指导下，深入贯彻落实科学发展观，严格遵守国家法律法规和有关政策规定，认真履行职责，在接收捐赠资金、物资管理以及财务制度建设等方面取得了良好的成绩。</w:t>
      </w:r>
    </w:p>
    <w:p>
      <w:pPr>
        <w:keepNext w:val="0"/>
        <w:keepLines w:val="0"/>
        <w:pageBreakBefore w:val="0"/>
        <w:widowControl w:val="0"/>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基金会财务情况从2021年01月01日至2021年12月31日止，财务管理工作情况正常，业务活动和捐赠款收支等运转状况正常。根据财务执行情况汇总，报告如下：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一、财务管理工作情况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北京万和公益基金会在上级主管单位和相关部门的大力支持和指导下，认真贯彻执行《章程》和财务相关的规定与制度。于此同时认真履行上级主管单位年度各项年检年报及财务审计等方面的要求。</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在财务管理、完善制度方面。按照财政部、民政部和国家税务总局关于《民间非营利组织会计制度》的要求，规范会计核算，设置了会计账薄、会计科目、会计报表等。并按照制度要求，及时编报季度和年度资产负债表、业务活动表和现金流量表，使财务管理工作做到了规范化、程序化、制度化。</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2、我基金会领导高度重视国家财税政策，定期要求财会人员及时了解学习有关财务法律法规，使财会人员能准确把握国家税务政策，并按月足额缴纳相关税费等。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按照国家有关规定和上级主管部门指示，基金会于2021年2月25日接受了亚太（集团）会计师事务所审计，出具标准无保留意见，认为北京万和公益基金会财务报表已经按照《社会团体登记管理条例》和《民间非营利组织会计制度》的规定编制，在所有重大方面公允反映了北京万和公益基金会2020年12月 31日的财务状况以及 2020年的业务活动成果和现金流量。</w:t>
      </w:r>
    </w:p>
    <w:p>
      <w:pPr>
        <w:keepNext w:val="0"/>
        <w:keepLines w:val="0"/>
        <w:pageBreakBefore w:val="0"/>
        <w:widowControl w:val="0"/>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w:t>
      </w:r>
      <w:r>
        <w:rPr>
          <w:rFonts w:hint="eastAsia" w:ascii="仿宋" w:hAnsi="仿宋" w:eastAsia="仿宋" w:cs="仿宋"/>
          <w:b/>
          <w:bCs/>
          <w:color w:val="auto"/>
          <w:sz w:val="28"/>
          <w:szCs w:val="28"/>
          <w:vertAlign w:val="baseline"/>
          <w:lang w:val="en-US" w:eastAsia="zh-CN"/>
        </w:rPr>
        <w:t>按照北京市民政局的文件《</w:t>
      </w:r>
      <w:r>
        <w:rPr>
          <w:rFonts w:hint="eastAsia" w:ascii="仿宋" w:hAnsi="仿宋" w:eastAsia="仿宋" w:cs="仿宋"/>
          <w:b/>
          <w:bCs/>
          <w:sz w:val="28"/>
          <w:szCs w:val="28"/>
        </w:rPr>
        <w:t>北京市民政局关于开展基金</w:t>
      </w:r>
      <w:r>
        <w:rPr>
          <w:rFonts w:hint="eastAsia" w:ascii="仿宋" w:hAnsi="仿宋" w:eastAsia="仿宋" w:cs="仿宋"/>
          <w:b/>
          <w:bCs/>
          <w:sz w:val="28"/>
          <w:szCs w:val="28"/>
          <w:lang w:eastAsia="zh-CN"/>
        </w:rPr>
        <w:t>会</w:t>
      </w:r>
      <w:r>
        <w:rPr>
          <w:rFonts w:hint="eastAsia" w:ascii="仿宋" w:hAnsi="仿宋" w:eastAsia="仿宋" w:cs="仿宋"/>
          <w:b/>
          <w:bCs/>
          <w:sz w:val="28"/>
          <w:szCs w:val="28"/>
        </w:rPr>
        <w:t>20</w:t>
      </w:r>
      <w:r>
        <w:rPr>
          <w:rFonts w:hint="eastAsia" w:ascii="仿宋" w:hAnsi="仿宋" w:eastAsia="仿宋" w:cs="仿宋"/>
          <w:b/>
          <w:bCs/>
          <w:sz w:val="28"/>
          <w:szCs w:val="28"/>
          <w:lang w:eastAsia="zh-CN"/>
        </w:rPr>
        <w:t>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年度报告和年度检查工作的通告</w:t>
      </w:r>
      <w:r>
        <w:rPr>
          <w:rFonts w:hint="eastAsia" w:ascii="仿宋" w:hAnsi="仿宋" w:eastAsia="仿宋" w:cs="仿宋"/>
          <w:b/>
          <w:bCs/>
          <w:sz w:val="28"/>
          <w:szCs w:val="28"/>
          <w:lang w:eastAsia="zh-CN"/>
        </w:rPr>
        <w:t>》，并于</w:t>
      </w:r>
      <w:r>
        <w:rPr>
          <w:rFonts w:hint="eastAsia" w:ascii="仿宋" w:hAnsi="仿宋" w:eastAsia="仿宋" w:cs="仿宋"/>
          <w:b/>
          <w:bCs/>
          <w:sz w:val="28"/>
          <w:szCs w:val="28"/>
          <w:lang w:val="en-US" w:eastAsia="zh-CN"/>
        </w:rPr>
        <w:t>2022年1月1日至3月20日期间，填报基金会年报系统，于2022年3月30日之前提交2021年度的年度检查工作报告。</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vertAlign w:val="baseline"/>
          <w:lang w:val="en-US" w:eastAsia="zh-CN"/>
        </w:rPr>
        <w:t>我基金会于2021年5月8日的第“</w:t>
      </w:r>
      <w:r>
        <w:rPr>
          <w:rFonts w:hint="eastAsia" w:ascii="仿宋" w:hAnsi="仿宋" w:eastAsia="仿宋" w:cs="仿宋"/>
          <w:b/>
          <w:bCs/>
          <w:i w:val="0"/>
          <w:iCs w:val="0"/>
          <w:caps w:val="0"/>
          <w:color w:val="404040"/>
          <w:spacing w:val="0"/>
          <w:sz w:val="28"/>
          <w:szCs w:val="28"/>
          <w:shd w:val="clear" w:fill="FFFFFF"/>
        </w:rPr>
        <w:t>京财税〔2021〕775号</w:t>
      </w:r>
      <w:r>
        <w:rPr>
          <w:rFonts w:hint="eastAsia" w:ascii="仿宋" w:hAnsi="仿宋" w:eastAsia="仿宋" w:cs="仿宋"/>
          <w:b/>
          <w:bCs/>
          <w:sz w:val="28"/>
          <w:szCs w:val="28"/>
          <w:vertAlign w:val="baseline"/>
          <w:lang w:val="en-US" w:eastAsia="zh-CN"/>
        </w:rPr>
        <w:t>”的文件中“</w:t>
      </w:r>
      <w:r>
        <w:rPr>
          <w:rFonts w:hint="eastAsia" w:ascii="仿宋" w:hAnsi="仿宋" w:eastAsia="仿宋" w:cs="仿宋"/>
          <w:b/>
          <w:bCs/>
          <w:i w:val="0"/>
          <w:iCs w:val="0"/>
          <w:caps w:val="0"/>
          <w:color w:val="333333"/>
          <w:spacing w:val="0"/>
          <w:sz w:val="28"/>
          <w:szCs w:val="28"/>
          <w:shd w:val="clear" w:fill="FFFFFF"/>
        </w:rPr>
        <w:t>关于北京市2020年度—2022年度第二批公益性社会组织捐赠税前扣除资格名单的公告</w:t>
      </w:r>
      <w:r>
        <w:rPr>
          <w:rFonts w:hint="eastAsia" w:ascii="仿宋" w:hAnsi="仿宋" w:eastAsia="仿宋" w:cs="仿宋"/>
          <w:b/>
          <w:bCs/>
          <w:sz w:val="28"/>
          <w:szCs w:val="28"/>
          <w:vertAlign w:val="baseline"/>
          <w:lang w:val="en-US" w:eastAsia="zh-CN"/>
        </w:rPr>
        <w:t>”，获得公益性税前扣除资格，名单编号为第225号。</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6、根据民政部《社会组织评估管理办法》（民政部令第39号）规定，2021年北京市民政局委托专业评估机构对314个社会组织从基础条件、内部治理、工作绩效、诚信建设和社会评价等五个方面进行了评估。2021年8月10日，经过现场评估、评估委员会评审、公示、评估复核委员会复核和市民政局确认，最终确定我基金会获得《3A级社会组织》。</w:t>
      </w:r>
    </w:p>
    <w:p>
      <w:pPr>
        <w:keepNext w:val="0"/>
        <w:keepLines w:val="0"/>
        <w:pageBreakBefore w:val="0"/>
        <w:widowControl w:val="0"/>
        <w:numPr>
          <w:ilvl w:val="0"/>
          <w:numId w:val="0"/>
        </w:numPr>
        <w:tabs>
          <w:tab w:val="left" w:pos="3682"/>
        </w:tabs>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二、业务基本情况</w:t>
      </w:r>
      <w:r>
        <w:rPr>
          <w:rFonts w:hint="eastAsia" w:ascii="仿宋" w:hAnsi="仿宋" w:eastAsia="仿宋" w:cs="仿宋"/>
          <w:b/>
          <w:bCs/>
          <w:sz w:val="28"/>
          <w:szCs w:val="28"/>
          <w:lang w:val="en-US" w:eastAsia="zh-CN"/>
        </w:rPr>
        <w:tab/>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color w:val="auto"/>
          <w:sz w:val="28"/>
          <w:szCs w:val="28"/>
          <w:vertAlign w:val="baseline"/>
          <w:lang w:val="en-US" w:eastAsia="zh-CN"/>
        </w:rPr>
        <w:t>“理财产品”的变更</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鉴于购买“添利宝”净值型理财产品购买时间已达两年，而且收益较低，为提高理财产品的收益率，把“添利宝”净值型理财产品的所有投入赎回，并于近日购买工商银行如意人生“智合”理财产品。明细如下:</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产品名称:工银理财如意人生“智合”-多资产FOF固定收益类双周开放</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净值型理财产品</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产品类型:固定收益类、非保本浮动收益类</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产品期限:无固定期限</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风险评级:PR3</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产品代码:pa040003</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投资金额:200万元</w:t>
      </w:r>
    </w:p>
    <w:p>
      <w:pPr>
        <w:keepNext w:val="0"/>
        <w:keepLines w:val="0"/>
        <w:pageBreakBefore w:val="0"/>
        <w:widowControl w:val="0"/>
        <w:numPr>
          <w:ilvl w:val="0"/>
          <w:numId w:val="0"/>
        </w:numPr>
        <w:kinsoku/>
        <w:wordWrap/>
        <w:overflowPunct/>
        <w:topLinePunct w:val="0"/>
        <w:autoSpaceDE w:val="0"/>
        <w:autoSpaceDN/>
        <w:bidi w:val="0"/>
        <w:adjustRightInd/>
        <w:snapToGrid/>
        <w:spacing w:line="340" w:lineRule="exact"/>
        <w:ind w:right="-23" w:rightChars="-11" w:firstLine="562" w:firstLineChars="200"/>
        <w:jc w:val="left"/>
        <w:textAlignment w:val="auto"/>
        <w:rPr>
          <w:rFonts w:hint="eastAsia" w:ascii="仿宋" w:hAnsi="仿宋" w:eastAsia="仿宋" w:cs="仿宋"/>
          <w:b/>
          <w:bCs/>
          <w:color w:val="auto"/>
          <w:sz w:val="28"/>
          <w:szCs w:val="28"/>
          <w:vertAlign w:val="baseline"/>
          <w:lang w:val="en-US" w:eastAsia="zh-CN"/>
        </w:rPr>
      </w:pPr>
      <w:r>
        <w:rPr>
          <w:rFonts w:hint="eastAsia" w:ascii="仿宋" w:hAnsi="仿宋" w:eastAsia="仿宋" w:cs="仿宋"/>
          <w:b/>
          <w:bCs/>
          <w:color w:val="auto"/>
          <w:sz w:val="28"/>
          <w:szCs w:val="28"/>
          <w:vertAlign w:val="baseline"/>
          <w:lang w:val="en-US" w:eastAsia="zh-CN"/>
        </w:rPr>
        <w:t>基金会理事会所有理事通过对产品说明书等材料进行了审阅，并全票通过对工商银行如意人生“智合”理财产品的购买。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vertAlign w:val="baseline"/>
          <w:lang w:val="en-US" w:eastAsia="zh-CN"/>
        </w:rPr>
        <w:t>接受捐赠：</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vertAlign w:val="baseline"/>
          <w:lang w:val="en-US" w:eastAsia="zh-CN"/>
        </w:rPr>
        <w:t>（1）</w:t>
      </w:r>
      <w:r>
        <w:rPr>
          <w:rFonts w:hint="eastAsia" w:ascii="仿宋" w:hAnsi="仿宋" w:eastAsia="仿宋" w:cs="仿宋"/>
          <w:b/>
          <w:bCs/>
          <w:sz w:val="28"/>
          <w:szCs w:val="28"/>
          <w:lang w:val="en-US" w:eastAsia="zh-CN"/>
        </w:rPr>
        <w:t>2021年8月5日我基金会接受未来伟业（北京）医疗设备有限公司捐赠价值人民币77万元的医疗设备。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vertAlign w:val="baseline"/>
          <w:lang w:val="en-US" w:eastAsia="zh-CN"/>
        </w:rPr>
        <w:t>（2）</w:t>
      </w:r>
      <w:r>
        <w:rPr>
          <w:rFonts w:hint="eastAsia" w:ascii="仿宋" w:hAnsi="仿宋" w:eastAsia="仿宋" w:cs="仿宋"/>
          <w:b/>
          <w:bCs/>
          <w:sz w:val="28"/>
          <w:szCs w:val="28"/>
          <w:lang w:val="en-US" w:eastAsia="zh-CN"/>
        </w:rPr>
        <w:t>2021年11月11日接受上海鑫辰医疗科技有限公司捐赠人民币 2万元。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9"/>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捐赠支出：</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（1）捐赠沽源县西营中心卫生院价值5万元人民币的医疗设备。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（2）捐赠康保县闫油坊乡卫生院价值5万元人民币的医疗设备。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（3）捐赠河北省尚义县大苏计乡卫生院价值5万元人民币的医疗设备。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（4）张家口市崇礼区白旗乡卫生院价值7万元人民币的医疗设备。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（5）涿鹿县东小庄镇卫生院价值7万元人民币的医疗设备。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（6）张家口市万全区郭磊庄中心卫生院价值7万元人民币的医疗设备。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（7）怀安县第六屯乡卫生院价值7万元人民币的医疗设备。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（8）蔚县计划生育医院价值7万元人民币的医疗设备。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（9）阳原县东城中心卫生院价值7万元人民币的医疗设备。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（10）阳原县化稍营中心卫生院价值7万元人民币的医疗设备。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（11）赤城县样田乡卫生院价值7万元人民币的医疗设备。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（12）宜兴社区卫生服务站价值7万元人民币的医疗设备。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（13）河北省张北县公会中心卫生院价值7万元人民币的医疗设备。</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（14）涿鹿县涿鹿镇卫生院价值7万元人民币的医疗设备。</w:t>
      </w:r>
    </w:p>
    <w:p>
      <w:pPr>
        <w:keepNext w:val="0"/>
        <w:keepLines w:val="0"/>
        <w:pageBreakBefore w:val="0"/>
        <w:widowControl w:val="0"/>
        <w:numPr>
          <w:ilvl w:val="0"/>
          <w:numId w:val="0"/>
        </w:numPr>
        <w:tabs>
          <w:tab w:val="left" w:pos="1025"/>
        </w:tabs>
        <w:kinsoku/>
        <w:wordWrap/>
        <w:overflowPunct/>
        <w:topLinePunct w:val="0"/>
        <w:autoSpaceDE w:val="0"/>
        <w:autoSpaceDN/>
        <w:bidi w:val="0"/>
        <w:adjustRightInd/>
        <w:snapToGrid/>
        <w:spacing w:line="320" w:lineRule="exact"/>
        <w:ind w:leftChars="200" w:right="-23" w:rightChars="-11"/>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三、财务活动状况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1、收入情况</w:t>
      </w:r>
    </w:p>
    <w:p>
      <w:pPr>
        <w:keepNext w:val="0"/>
        <w:keepLines w:val="0"/>
        <w:pageBreakBefore w:val="0"/>
        <w:widowControl/>
        <w:suppressLineNumbers w:val="0"/>
        <w:kinsoku/>
        <w:wordWrap/>
        <w:overflowPunct/>
        <w:topLinePunct w:val="0"/>
        <w:autoSpaceDN/>
        <w:bidi w:val="0"/>
        <w:adjustRightInd/>
        <w:snapToGrid/>
        <w:spacing w:line="320" w:lineRule="exact"/>
        <w:ind w:firstLine="562"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sz w:val="28"/>
          <w:szCs w:val="28"/>
        </w:rPr>
        <w:t>20</w:t>
      </w:r>
      <w:r>
        <w:rPr>
          <w:rFonts w:hint="eastAsia" w:ascii="仿宋" w:hAnsi="仿宋" w:eastAsia="仿宋" w:cs="仿宋"/>
          <w:b/>
          <w:bCs/>
          <w:color w:val="000000"/>
          <w:sz w:val="28"/>
          <w:szCs w:val="28"/>
          <w:lang w:val="en-US" w:eastAsia="zh-CN"/>
        </w:rPr>
        <w:t>21</w:t>
      </w:r>
      <w:r>
        <w:rPr>
          <w:rFonts w:hint="eastAsia" w:ascii="仿宋" w:hAnsi="仿宋" w:eastAsia="仿宋" w:cs="仿宋"/>
          <w:b/>
          <w:bCs/>
          <w:color w:val="000000"/>
          <w:sz w:val="28"/>
          <w:szCs w:val="28"/>
        </w:rPr>
        <w:t>年度净资产变动额为</w:t>
      </w:r>
      <w:r>
        <w:rPr>
          <w:rFonts w:hint="eastAsia" w:ascii="仿宋" w:hAnsi="仿宋" w:eastAsia="仿宋" w:cs="仿宋"/>
          <w:color w:val="000000"/>
          <w:kern w:val="0"/>
          <w:sz w:val="28"/>
          <w:szCs w:val="28"/>
          <w:lang w:val="en-US" w:eastAsia="zh-CN" w:bidi="ar"/>
        </w:rPr>
        <w:t>-26779.58</w:t>
      </w:r>
      <w:r>
        <w:rPr>
          <w:rFonts w:hint="eastAsia" w:ascii="仿宋" w:hAnsi="仿宋" w:eastAsia="仿宋" w:cs="仿宋"/>
          <w:b/>
          <w:bCs/>
          <w:color w:val="000000"/>
          <w:sz w:val="28"/>
          <w:szCs w:val="28"/>
        </w:rPr>
        <w:t>元；收入合计金额为</w:t>
      </w:r>
      <w:r>
        <w:rPr>
          <w:rFonts w:hint="eastAsia" w:ascii="仿宋" w:hAnsi="仿宋" w:eastAsia="仿宋" w:cs="仿宋"/>
          <w:color w:val="000000"/>
          <w:kern w:val="0"/>
          <w:sz w:val="28"/>
          <w:szCs w:val="28"/>
          <w:lang w:val="en-US" w:eastAsia="zh-CN" w:bidi="ar"/>
        </w:rPr>
        <w:t>921316.7</w:t>
      </w:r>
    </w:p>
    <w:p>
      <w:pPr>
        <w:keepNext w:val="0"/>
        <w:keepLines w:val="0"/>
        <w:pageBreakBefore w:val="0"/>
        <w:widowControl/>
        <w:suppressLineNumbers w:val="0"/>
        <w:kinsoku/>
        <w:wordWrap/>
        <w:overflowPunct/>
        <w:topLinePunct w:val="0"/>
        <w:autoSpaceDN/>
        <w:bidi w:val="0"/>
        <w:adjustRightInd/>
        <w:snapToGrid/>
        <w:spacing w:line="32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元，其中：捐赠收入</w:t>
      </w:r>
      <w:r>
        <w:rPr>
          <w:rFonts w:hint="eastAsia" w:ascii="仿宋" w:hAnsi="仿宋" w:eastAsia="仿宋" w:cs="仿宋"/>
          <w:color w:val="000000"/>
          <w:kern w:val="0"/>
          <w:sz w:val="28"/>
          <w:szCs w:val="28"/>
          <w:lang w:val="en-US" w:eastAsia="zh-CN" w:bidi="ar"/>
        </w:rPr>
        <w:t>790000</w:t>
      </w:r>
      <w:r>
        <w:rPr>
          <w:rFonts w:hint="eastAsia" w:ascii="仿宋" w:hAnsi="仿宋" w:eastAsia="仿宋" w:cs="仿宋"/>
          <w:b/>
          <w:bCs/>
          <w:color w:val="000000"/>
          <w:sz w:val="28"/>
          <w:szCs w:val="28"/>
        </w:rPr>
        <w:t>元，投资收益</w:t>
      </w:r>
      <w:r>
        <w:rPr>
          <w:rFonts w:hint="eastAsia" w:ascii="仿宋" w:hAnsi="仿宋" w:eastAsia="仿宋" w:cs="仿宋"/>
          <w:b/>
          <w:bCs/>
          <w:color w:val="000000"/>
          <w:sz w:val="28"/>
          <w:szCs w:val="28"/>
          <w:lang w:val="en-US" w:eastAsia="zh-CN"/>
        </w:rPr>
        <w:t>130794.95</w:t>
      </w:r>
      <w:r>
        <w:rPr>
          <w:rFonts w:hint="eastAsia" w:ascii="仿宋" w:hAnsi="仿宋" w:eastAsia="仿宋" w:cs="仿宋"/>
          <w:b/>
          <w:bCs/>
          <w:color w:val="000000"/>
          <w:sz w:val="28"/>
          <w:szCs w:val="28"/>
        </w:rPr>
        <w:t>元，其他收入</w:t>
      </w:r>
      <w:r>
        <w:rPr>
          <w:rFonts w:hint="eastAsia" w:ascii="仿宋" w:hAnsi="仿宋" w:eastAsia="仿宋" w:cs="仿宋"/>
          <w:color w:val="000000"/>
          <w:kern w:val="0"/>
          <w:sz w:val="28"/>
          <w:szCs w:val="28"/>
          <w:lang w:val="en-US" w:eastAsia="zh-CN" w:bidi="ar"/>
        </w:rPr>
        <w:t>521.75</w:t>
      </w:r>
      <w:r>
        <w:rPr>
          <w:rFonts w:hint="eastAsia" w:ascii="仿宋" w:hAnsi="仿宋" w:eastAsia="仿宋" w:cs="仿宋"/>
          <w:b/>
          <w:bCs/>
          <w:color w:val="000000"/>
          <w:sz w:val="28"/>
          <w:szCs w:val="28"/>
        </w:rPr>
        <w:t>元</w:t>
      </w:r>
      <w:r>
        <w:rPr>
          <w:rFonts w:hint="eastAsia" w:ascii="仿宋" w:hAnsi="仿宋" w:eastAsia="仿宋" w:cs="仿宋"/>
          <w:b/>
          <w:bCs/>
          <w:color w:val="000000"/>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支出情况</w:t>
      </w:r>
    </w:p>
    <w:p>
      <w:pPr>
        <w:keepNext w:val="0"/>
        <w:keepLines w:val="0"/>
        <w:pageBreakBefore w:val="0"/>
        <w:widowControl/>
        <w:suppressLineNumbers w:val="0"/>
        <w:kinsoku/>
        <w:wordWrap/>
        <w:overflowPunct/>
        <w:topLinePunct w:val="0"/>
        <w:autoSpaceDN/>
        <w:bidi w:val="0"/>
        <w:adjustRightInd/>
        <w:snapToGrid/>
        <w:spacing w:line="320" w:lineRule="exact"/>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费用合计为</w:t>
      </w:r>
      <w:r>
        <w:rPr>
          <w:rFonts w:hint="eastAsia" w:ascii="仿宋" w:hAnsi="仿宋" w:eastAsia="仿宋" w:cs="仿宋"/>
          <w:color w:val="000000"/>
          <w:kern w:val="0"/>
          <w:sz w:val="28"/>
          <w:szCs w:val="28"/>
          <w:lang w:val="en-US" w:eastAsia="zh-CN" w:bidi="ar"/>
        </w:rPr>
        <w:t>948096.28</w:t>
      </w:r>
      <w:r>
        <w:rPr>
          <w:rFonts w:hint="eastAsia" w:ascii="仿宋" w:hAnsi="仿宋" w:eastAsia="仿宋" w:cs="仿宋"/>
          <w:b/>
          <w:bCs/>
          <w:color w:val="000000"/>
          <w:sz w:val="28"/>
          <w:szCs w:val="28"/>
        </w:rPr>
        <w:t>元，其中：业务活动成本金额合计为</w:t>
      </w:r>
      <w:r>
        <w:rPr>
          <w:rFonts w:hint="eastAsia" w:ascii="仿宋" w:hAnsi="仿宋" w:eastAsia="仿宋" w:cs="仿宋"/>
          <w:color w:val="000000"/>
          <w:kern w:val="0"/>
          <w:sz w:val="28"/>
          <w:szCs w:val="28"/>
          <w:lang w:val="en-US" w:eastAsia="zh-CN" w:bidi="ar"/>
        </w:rPr>
        <w:t>920000</w:t>
      </w:r>
      <w:r>
        <w:rPr>
          <w:rFonts w:hint="eastAsia" w:ascii="仿宋" w:hAnsi="仿宋" w:eastAsia="仿宋" w:cs="仿宋"/>
          <w:b/>
          <w:bCs/>
          <w:color w:val="000000"/>
          <w:sz w:val="28"/>
          <w:szCs w:val="28"/>
        </w:rPr>
        <w:t>元，管理费用金额合计为</w:t>
      </w:r>
      <w:r>
        <w:rPr>
          <w:rFonts w:hint="eastAsia" w:ascii="仿宋" w:hAnsi="仿宋" w:eastAsia="仿宋" w:cs="仿宋"/>
          <w:color w:val="000000"/>
          <w:kern w:val="0"/>
          <w:sz w:val="28"/>
          <w:szCs w:val="28"/>
          <w:lang w:val="en-US" w:eastAsia="zh-CN" w:bidi="ar"/>
        </w:rPr>
        <w:t>28096.28</w:t>
      </w:r>
      <w:r>
        <w:rPr>
          <w:rFonts w:hint="eastAsia" w:ascii="仿宋" w:hAnsi="仿宋" w:eastAsia="仿宋" w:cs="仿宋"/>
          <w:b/>
          <w:bCs/>
          <w:color w:val="000000"/>
          <w:sz w:val="28"/>
          <w:szCs w:val="28"/>
        </w:rPr>
        <w:t>元，其他费用金额合计为</w:t>
      </w:r>
      <w:r>
        <w:rPr>
          <w:rFonts w:hint="eastAsia" w:ascii="仿宋" w:hAnsi="仿宋" w:eastAsia="仿宋" w:cs="仿宋"/>
          <w:color w:val="000000"/>
          <w:kern w:val="0"/>
          <w:sz w:val="28"/>
          <w:szCs w:val="28"/>
          <w:lang w:val="en-US" w:eastAsia="zh-CN" w:bidi="ar"/>
        </w:rPr>
        <w:t>0</w:t>
      </w:r>
      <w:r>
        <w:rPr>
          <w:rFonts w:hint="eastAsia" w:ascii="仿宋" w:hAnsi="仿宋" w:eastAsia="仿宋" w:cs="仿宋"/>
          <w:b/>
          <w:bCs/>
          <w:color w:val="000000"/>
          <w:sz w:val="28"/>
          <w:szCs w:val="28"/>
        </w:rPr>
        <w:t>元，导致净资产</w:t>
      </w:r>
      <w:r>
        <w:rPr>
          <w:rFonts w:hint="eastAsia" w:ascii="仿宋" w:hAnsi="仿宋" w:eastAsia="仿宋" w:cs="仿宋"/>
          <w:b/>
          <w:bCs/>
          <w:color w:val="000000"/>
          <w:sz w:val="28"/>
          <w:szCs w:val="28"/>
          <w:lang w:val="en-US" w:eastAsia="zh-CN"/>
        </w:rPr>
        <w:t>减少</w:t>
      </w:r>
      <w:r>
        <w:rPr>
          <w:rFonts w:hint="eastAsia" w:ascii="仿宋" w:hAnsi="仿宋" w:eastAsia="仿宋" w:cs="仿宋"/>
          <w:color w:val="000000"/>
          <w:kern w:val="0"/>
          <w:sz w:val="28"/>
          <w:szCs w:val="28"/>
          <w:lang w:val="en-US" w:eastAsia="zh-CN" w:bidi="ar"/>
        </w:rPr>
        <w:t>26779.58</w:t>
      </w:r>
      <w:r>
        <w:rPr>
          <w:rFonts w:hint="eastAsia" w:ascii="仿宋" w:hAnsi="仿宋" w:eastAsia="仿宋" w:cs="仿宋"/>
          <w:b/>
          <w:bCs/>
          <w:color w:val="000000"/>
          <w:sz w:val="28"/>
          <w:szCs w:val="28"/>
        </w:rPr>
        <w:t>元。</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3、资产状况</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北京万和公益基金会截止2021年12月31日资产总额2238522.23元，其中：货币资金208522.23元，对外投资2000000元，应收款项0元，存货30000元，固定资产原值0元，累计折旧0元，固定资产净值0元。</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工作计划</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开展基金会的审计及年报工作。</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开展慈善项目的募捐和捐赠。</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对专向基金的开展进行监督配合。</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各项制度的完善。</w:t>
      </w:r>
    </w:p>
    <w:p>
      <w:pPr>
        <w:keepNext w:val="0"/>
        <w:keepLines w:val="0"/>
        <w:pageBreakBefore w:val="0"/>
        <w:widowControl w:val="0"/>
        <w:numPr>
          <w:ilvl w:val="0"/>
          <w:numId w:val="3"/>
        </w:numPr>
        <w:tabs>
          <w:tab w:val="center" w:pos="4153"/>
        </w:tabs>
        <w:kinsoku/>
        <w:wordWrap/>
        <w:overflowPunct/>
        <w:topLinePunct w:val="0"/>
        <w:autoSpaceDE/>
        <w:autoSpaceDN/>
        <w:bidi w:val="0"/>
        <w:adjustRightInd/>
        <w:snapToGrid/>
        <w:spacing w:line="320" w:lineRule="exact"/>
        <w:ind w:left="420" w:left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针对评估种出现的问题进行完善整改，保持基金会良性发展。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四、存在问题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1、公益项目的收入和支出很少。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2、专项基金的工作开展缺乏足够经验。</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3、各项管理制度的逐步完善。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4、公益项目单一。</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综上所述，我基金会的财务情况正常，运行良好，自查后，没有财务违规现象。针对不足，进行改进完善。</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请各位理事及监事知悉！</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（后附相关财务报表）</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北京万和公益基金会</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二〇二一年十二月</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eastAsia"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drawing>
          <wp:inline distT="0" distB="0" distL="114300" distR="114300">
            <wp:extent cx="6119495" cy="7061200"/>
            <wp:effectExtent l="0" t="0" r="14605" b="6350"/>
            <wp:docPr id="3" name="图片 3" descr="微信图片_2022022115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221150542"/>
                    <pic:cNvPicPr>
                      <a:picLocks noChangeAspect="1"/>
                    </pic:cNvPicPr>
                  </pic:nvPicPr>
                  <pic:blipFill>
                    <a:blip r:embed="rId4"/>
                    <a:stretch>
                      <a:fillRect/>
                    </a:stretch>
                  </pic:blipFill>
                  <pic:spPr>
                    <a:xfrm>
                      <a:off x="0" y="0"/>
                      <a:ext cx="6119495" cy="70612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drawing>
          <wp:inline distT="0" distB="0" distL="114300" distR="114300">
            <wp:extent cx="6120130" cy="6376035"/>
            <wp:effectExtent l="0" t="0" r="13970" b="571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6120130" cy="63760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drawing>
          <wp:inline distT="0" distB="0" distL="114300" distR="114300">
            <wp:extent cx="5438775" cy="7419975"/>
            <wp:effectExtent l="0" t="0" r="9525" b="9525"/>
            <wp:docPr id="6" name="图片 6" descr="1645427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5427266(1)"/>
                    <pic:cNvPicPr>
                      <a:picLocks noChangeAspect="1"/>
                    </pic:cNvPicPr>
                  </pic:nvPicPr>
                  <pic:blipFill>
                    <a:blip r:embed="rId6"/>
                    <a:stretch>
                      <a:fillRect/>
                    </a:stretch>
                  </pic:blipFill>
                  <pic:spPr>
                    <a:xfrm>
                      <a:off x="0" y="0"/>
                      <a:ext cx="5438775" cy="74199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right"/>
        <w:textAlignment w:val="auto"/>
        <w:rPr>
          <w:rFonts w:hint="default" w:ascii="仿宋" w:hAnsi="仿宋" w:eastAsia="仿宋" w:cs="仿宋"/>
          <w:b/>
          <w:bCs/>
          <w:sz w:val="28"/>
          <w:szCs w:val="28"/>
          <w:lang w:val="en-US" w:eastAsia="zh-CN"/>
        </w:rPr>
      </w:pPr>
    </w:p>
    <w:p>
      <w:pPr>
        <w:rPr>
          <w:rFonts w:hint="eastAsia" w:eastAsiaTheme="minorEastAsia"/>
          <w:lang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065A6"/>
    <w:multiLevelType w:val="singleLevel"/>
    <w:tmpl w:val="2CD065A6"/>
    <w:lvl w:ilvl="0" w:tentative="0">
      <w:start w:val="4"/>
      <w:numFmt w:val="decimal"/>
      <w:suff w:val="nothing"/>
      <w:lvlText w:val="%1、"/>
      <w:lvlJc w:val="left"/>
    </w:lvl>
  </w:abstractNum>
  <w:abstractNum w:abstractNumId="1">
    <w:nsid w:val="5052458B"/>
    <w:multiLevelType w:val="singleLevel"/>
    <w:tmpl w:val="5052458B"/>
    <w:lvl w:ilvl="0" w:tentative="0">
      <w:start w:val="1"/>
      <w:numFmt w:val="decimal"/>
      <w:suff w:val="nothing"/>
      <w:lvlText w:val="（%1）"/>
      <w:lvlJc w:val="left"/>
    </w:lvl>
  </w:abstractNum>
  <w:abstractNum w:abstractNumId="2">
    <w:nsid w:val="7C5D8D43"/>
    <w:multiLevelType w:val="singleLevel"/>
    <w:tmpl w:val="7C5D8D4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76E14"/>
    <w:rsid w:val="09C95A84"/>
    <w:rsid w:val="1078570D"/>
    <w:rsid w:val="17582A9C"/>
    <w:rsid w:val="191341F2"/>
    <w:rsid w:val="1B6F0230"/>
    <w:rsid w:val="1D247B5F"/>
    <w:rsid w:val="2634170C"/>
    <w:rsid w:val="30D76E14"/>
    <w:rsid w:val="33D50782"/>
    <w:rsid w:val="3FEC583E"/>
    <w:rsid w:val="40D00013"/>
    <w:rsid w:val="4CAC18D8"/>
    <w:rsid w:val="4F5479F6"/>
    <w:rsid w:val="54752FBE"/>
    <w:rsid w:val="54C4526F"/>
    <w:rsid w:val="61114BDC"/>
    <w:rsid w:val="6469381B"/>
    <w:rsid w:val="64D8717C"/>
    <w:rsid w:val="6D1D4E6F"/>
    <w:rsid w:val="733E3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2021-06-16T08:59:00Z</dcterms:created>
  <dc:creator>裴裴</dc:creator>
  <cp:lastModifiedBy>裴裴</cp:lastModifiedBy>
  <cp:lastPrinted>2021-08-04T09:48:00Z</cp:lastPrinted>
  <dcterms:modified xsi:type="dcterms:W3CDTF">2022-03-08T01:48:56Z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9E6AC9732A88412587314C6A31C18EB3</vt:lpwstr>
  </property>
</Properties>
</file>