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sz w:val="44"/>
          <w:szCs w:val="44"/>
          <w:lang w:eastAsia="zh-CN"/>
        </w:rPr>
      </w:pPr>
    </w:p>
    <w:p>
      <w:pPr>
        <w:jc w:val="center"/>
        <w:rPr>
          <w:rFonts w:hint="eastAsia" w:ascii="黑体" w:hAnsi="宋体" w:eastAsia="黑体"/>
          <w:sz w:val="44"/>
          <w:szCs w:val="44"/>
          <w:lang w:eastAsia="zh-CN"/>
        </w:rPr>
      </w:pPr>
      <w:bookmarkStart w:id="0" w:name="_GoBack"/>
      <w:r>
        <w:rPr>
          <w:rFonts w:hint="eastAsia" w:ascii="黑体" w:hAnsi="宋体" w:eastAsia="黑体"/>
          <w:sz w:val="44"/>
          <w:szCs w:val="44"/>
          <w:lang w:eastAsia="zh-CN"/>
        </w:rPr>
        <w:t>重大事项备案报告制度</w:t>
      </w:r>
    </w:p>
    <w:bookmarkEnd w:id="0"/>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9"/>
        <w:rPr>
          <w:rFonts w:ascii="仿宋_GB2312" w:hAnsi="宋体" w:eastAsia="仿宋_GB2312"/>
          <w:sz w:val="28"/>
          <w:szCs w:val="28"/>
        </w:rPr>
      </w:pPr>
      <w:r>
        <w:rPr>
          <w:rFonts w:hint="eastAsia" w:ascii="仿宋_GB2312" w:eastAsia="仿宋_GB2312"/>
          <w:sz w:val="32"/>
          <w:szCs w:val="32"/>
        </w:rPr>
        <w:br w:type="textWrapping"/>
      </w:r>
      <w:r>
        <w:rPr>
          <w:rFonts w:ascii="Helvetica" w:hAnsi="Helvetica"/>
          <w:color w:val="353535"/>
          <w:sz w:val="28"/>
          <w:szCs w:val="28"/>
        </w:rPr>
        <w:t>为进一步完善基金会管理制度，加强法制化、规范化、制度化建设，促进基金会健康发展，根据《</w:t>
      </w:r>
      <w:r>
        <w:rPr>
          <w:rFonts w:hint="eastAsia" w:ascii="Helvetica" w:hAnsi="Helvetica"/>
          <w:color w:val="353535"/>
          <w:sz w:val="28"/>
          <w:szCs w:val="28"/>
        </w:rPr>
        <w:t>中华人民共和国</w:t>
      </w:r>
      <w:r>
        <w:rPr>
          <w:rFonts w:ascii="Helvetica" w:hAnsi="Helvetica"/>
          <w:color w:val="353535"/>
          <w:sz w:val="28"/>
          <w:szCs w:val="28"/>
        </w:rPr>
        <w:t>基金会管理条例》，制定本制度。</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第一条  本制度规定的重大事项包括：召开理事会、换届选举、变更登记、举办大型公益活动、设立机构、创办实体、涉外活动、突发事件等。</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第二条  基金会召理事会，应报业务主管单位批准，并报登记管理机关备案。</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第三条  基金会换届，须事先将拟任法定代表人、秘书长以上负责人以及理事会组成人员的侯选人名单报业务主管单位批准后，并于理事会换届结束后30日内报登记管理机关备案。    </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第四条  基金会名称、住所、宗旨、业务范围、法定代表人、注册资金、业务主管单位发生变化，应事先报业务主管单位审查同意，事后30日内向登记管理机关申请办理变更登记手续。</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第五条 基金会举办大型公益活动，应经业务主管单位同意后，在活动开展前报登记管理机关备案。</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第六条  基金会设立分支机构、代表机构和实体机构，应经秘书处研究决定。分支机构和代表机构须经业务主管单位审查同意后，向登记管理机关申请办理登记手续；实体机构须报业务主管单位和登记管理机关同意后，视性质办理工商登记或民办非企业登记。</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第七条  基金会举办、参与外事活动，如与境外民间组织合作或联合举办活动、邀请境外人士或境外非政府组织参加的活动，以民间组织名义组织的涉外研讨会、组团出国出境、与境外组织交流交往、接受境外的捐赠、境外学习和考察活动等，须按照国家关于民间组织涉外活动有关规定及程序报业务主管单位批准，并报登记管理机关备案。</w:t>
      </w:r>
    </w:p>
    <w:p>
      <w:pPr>
        <w:pStyle w:val="10"/>
        <w:shd w:val="clear" w:color="auto" w:fill="FFFFFF"/>
        <w:spacing w:before="0" w:beforeAutospacing="0" w:after="75" w:afterAutospacing="0" w:line="270" w:lineRule="atLeast"/>
        <w:ind w:firstLine="480"/>
        <w:rPr>
          <w:rFonts w:ascii="Helvetica" w:hAnsi="Helvetica"/>
          <w:color w:val="353535"/>
          <w:sz w:val="28"/>
          <w:szCs w:val="28"/>
        </w:rPr>
      </w:pPr>
      <w:r>
        <w:rPr>
          <w:rFonts w:ascii="Helvetica" w:hAnsi="Helvetica"/>
          <w:color w:val="353535"/>
          <w:sz w:val="28"/>
          <w:szCs w:val="28"/>
        </w:rPr>
        <w:t>第八条  基金会的工作人员（含志愿者）参与邪教组织和有害气功活动的，应及时向登记管理机关报告，并积极协助有关部门查处。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hint="eastAsia" w:ascii="Helvetica" w:hAnsi="Helvetica"/>
          <w:color w:val="353535"/>
          <w:sz w:val="28"/>
          <w:szCs w:val="28"/>
        </w:rPr>
      </w:pPr>
      <w:r>
        <w:rPr>
          <w:rFonts w:ascii="Helvetica" w:hAnsi="Helvetica"/>
          <w:color w:val="353535"/>
          <w:sz w:val="28"/>
          <w:szCs w:val="28"/>
        </w:rPr>
        <w:t>第九条  基金会因违反有关国家法律、法规，被有关行政机关依法处罚的，应在被处罚之日起一周内将有关情况书面报登记管理机关。</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第十条 下列重大事项需向理事会报告，并按有关要求报民政部备案。</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（一）制定、修改章程；</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（二）选举、罢免理事长、副理事长、秘书长，聘请名誉职务；</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（三）决定由秘书长提名的副秘书长、财务会计的聘任，表彰爱心单位与奖励对基金会有贡献人员；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（四）重大募捐、投资、建设或资助项目、资金运作（</w:t>
      </w:r>
      <w:r>
        <w:rPr>
          <w:rFonts w:hint="eastAsia" w:ascii="Helvetica" w:hAnsi="Helvetica"/>
          <w:color w:val="353535"/>
          <w:sz w:val="28"/>
          <w:szCs w:val="28"/>
          <w:lang w:val="en-US" w:eastAsia="zh-CN"/>
        </w:rPr>
        <w:t>5</w:t>
      </w:r>
      <w:r>
        <w:rPr>
          <w:rFonts w:hint="eastAsia" w:ascii="Helvetica" w:hAnsi="Helvetica"/>
          <w:color w:val="353535"/>
          <w:sz w:val="28"/>
          <w:szCs w:val="28"/>
        </w:rPr>
        <w:t>0万以上）；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（五）年度收支预算及决算审定；</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（六）向媒体公布基金会年度工作计划、项目执行情况、会计审计报告等；</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（七）决定设立办事机构、分支机构、代表机构；</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（八）决定本会的分立、合并和终止。</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二、下列活动需要以书面形式向主管单位报告，经许可后方可实施。</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（一）大型募捐、义卖、义演等筹资活动；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（二）与外单位联合举办大型公益慈善活动；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（三）举办大型经济、文化、教育、体育、医疗卫生、环保论坛；</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（四）大型培训咨询活动。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三、下列涉外活动需按照外事审批权限报告有关主管部门。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（一）一般涉外活动要以书面形式上报全国友协，经批准方可立项实施。内含副部级以上人员需按国务院相关规定依程序报批；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（二）大型涉外文化活动，包括展览、演唱会等需报文化部批准；</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（三）涉及港、澳、台的活动，应根据审批权限上报相关国家主管单位审批。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 xml:space="preserve"> 四、重大事项报告程序。</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（一）实行逐级上报制度。凡重大事项本级无权决定的，要逐级报告，不得超越权限；</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Helvetica" w:hAnsi="Helvetica"/>
          <w:color w:val="353535"/>
          <w:sz w:val="28"/>
          <w:szCs w:val="28"/>
        </w:rPr>
      </w:pPr>
      <w:r>
        <w:rPr>
          <w:rFonts w:hint="eastAsia" w:ascii="Helvetica" w:hAnsi="Helvetica"/>
          <w:color w:val="353535"/>
          <w:sz w:val="28"/>
          <w:szCs w:val="28"/>
        </w:rPr>
        <w:t>（二）凡需要报告的重大事项由报告部门或个人用书面、口头或其他形式报告，要做到事前有请示，事后有报告；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ascii="Helvetica" w:hAnsi="Helvetica"/>
          <w:color w:val="353535"/>
          <w:sz w:val="28"/>
          <w:szCs w:val="28"/>
        </w:rPr>
      </w:pPr>
      <w:r>
        <w:rPr>
          <w:rFonts w:hint="eastAsia" w:ascii="Helvetica" w:hAnsi="Helvetica"/>
          <w:color w:val="353535"/>
          <w:sz w:val="28"/>
          <w:szCs w:val="28"/>
        </w:rPr>
        <w:t>（三）重大突发事件必须在第一时间报告主管领导，来不及报送详细情况的，可先初报，然后根据事态进展和处理情况做到随时进行续报。</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ascii="Helvetica" w:hAnsi="Helvetica"/>
          <w:color w:val="353535"/>
          <w:sz w:val="28"/>
          <w:szCs w:val="28"/>
        </w:rPr>
      </w:pPr>
      <w:r>
        <w:rPr>
          <w:rFonts w:ascii="Helvetica" w:hAnsi="Helvetica"/>
          <w:color w:val="353535"/>
          <w:sz w:val="28"/>
          <w:szCs w:val="28"/>
        </w:rPr>
        <w:t>第十</w:t>
      </w:r>
      <w:r>
        <w:rPr>
          <w:rFonts w:hint="eastAsia" w:ascii="Helvetica" w:hAnsi="Helvetica"/>
          <w:color w:val="353535"/>
          <w:sz w:val="28"/>
          <w:szCs w:val="28"/>
        </w:rPr>
        <w:t>一</w:t>
      </w:r>
      <w:r>
        <w:rPr>
          <w:rFonts w:ascii="Helvetica" w:hAnsi="Helvetica"/>
          <w:color w:val="353535"/>
          <w:sz w:val="28"/>
          <w:szCs w:val="28"/>
        </w:rPr>
        <w:t>条  本办法自公布之日起生效。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ascii="Helvetica" w:hAnsi="Helvetica"/>
          <w:color w:val="353535"/>
          <w:sz w:val="28"/>
          <w:szCs w:val="28"/>
        </w:rPr>
      </w:pPr>
      <w:r>
        <w:rPr>
          <w:rFonts w:ascii="Helvetica" w:hAnsi="Helvetica"/>
          <w:color w:val="353535"/>
          <w:sz w:val="28"/>
          <w:szCs w:val="28"/>
        </w:rPr>
        <w:t>第十</w:t>
      </w:r>
      <w:r>
        <w:rPr>
          <w:rFonts w:hint="eastAsia" w:ascii="Helvetica" w:hAnsi="Helvetica"/>
          <w:color w:val="353535"/>
          <w:sz w:val="28"/>
          <w:szCs w:val="28"/>
        </w:rPr>
        <w:t>二</w:t>
      </w:r>
      <w:r>
        <w:rPr>
          <w:rFonts w:ascii="Helvetica" w:hAnsi="Helvetica"/>
          <w:color w:val="353535"/>
          <w:sz w:val="28"/>
          <w:szCs w:val="28"/>
        </w:rPr>
        <w:t>条  本办法由</w:t>
      </w:r>
      <w:r>
        <w:rPr>
          <w:rFonts w:hint="eastAsia" w:ascii="Helvetica" w:hAnsi="Helvetica"/>
          <w:color w:val="353535"/>
          <w:sz w:val="28"/>
          <w:szCs w:val="28"/>
          <w:lang w:eastAsia="zh-CN"/>
        </w:rPr>
        <w:t>北京万和公益</w:t>
      </w:r>
      <w:r>
        <w:rPr>
          <w:rFonts w:hint="eastAsia" w:ascii="Helvetica" w:hAnsi="Helvetica"/>
          <w:color w:val="353535"/>
          <w:sz w:val="28"/>
          <w:szCs w:val="28"/>
        </w:rPr>
        <w:t>基金会</w:t>
      </w:r>
      <w:r>
        <w:rPr>
          <w:rFonts w:ascii="Helvetica" w:hAnsi="Helvetica"/>
          <w:color w:val="353535"/>
          <w:sz w:val="28"/>
          <w:szCs w:val="28"/>
        </w:rPr>
        <w:t>负责解释。</w:t>
      </w:r>
    </w:p>
    <w:p>
      <w:pPr>
        <w:pStyle w:val="10"/>
        <w:shd w:val="clear" w:color="auto" w:fill="FFFFFF"/>
        <w:spacing w:before="0" w:beforeAutospacing="0" w:after="75" w:afterAutospacing="0" w:line="270" w:lineRule="atLeast"/>
        <w:ind w:firstLine="480"/>
        <w:jc w:val="right"/>
        <w:rPr>
          <w:rFonts w:hint="eastAsia" w:ascii="Helvetica" w:hAnsi="Helvetica"/>
          <w:color w:val="353535"/>
          <w:sz w:val="28"/>
          <w:szCs w:val="28"/>
          <w:lang w:val="en-US" w:eastAsia="zh-CN"/>
        </w:rPr>
      </w:pPr>
      <w:r>
        <w:rPr>
          <w:rFonts w:hint="eastAsia" w:ascii="Helvetica" w:hAnsi="Helvetica"/>
          <w:color w:val="353535"/>
          <w:sz w:val="28"/>
          <w:szCs w:val="28"/>
          <w:lang w:val="en-US" w:eastAsia="zh-CN"/>
        </w:rPr>
        <w:t>2018年5月1日</w:t>
      </w:r>
    </w:p>
    <w:p>
      <w:pPr>
        <w:pStyle w:val="10"/>
        <w:shd w:val="clear" w:color="auto" w:fill="FFFFFF"/>
        <w:spacing w:before="0" w:beforeAutospacing="0" w:after="75" w:afterAutospacing="0" w:line="270" w:lineRule="atLeast"/>
        <w:ind w:firstLine="480"/>
        <w:jc w:val="right"/>
        <w:rPr>
          <w:rFonts w:hint="eastAsia" w:ascii="Helvetica" w:hAnsi="Helvetica"/>
          <w:color w:val="353535"/>
          <w:sz w:val="28"/>
          <w:szCs w:val="28"/>
          <w:lang w:val="en-US" w:eastAsia="zh-CN"/>
        </w:rPr>
      </w:pPr>
    </w:p>
    <w:p>
      <w:pPr>
        <w:rPr>
          <w:sz w:val="28"/>
          <w:szCs w:val="28"/>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121418A5"/>
    <w:rsid w:val="16E90350"/>
    <w:rsid w:val="1C5615B0"/>
    <w:rsid w:val="256917B1"/>
    <w:rsid w:val="3D056E6F"/>
    <w:rsid w:val="40CA7299"/>
    <w:rsid w:val="45513051"/>
    <w:rsid w:val="5C4D1A01"/>
    <w:rsid w:val="5DF53E7B"/>
    <w:rsid w:val="5FF82557"/>
    <w:rsid w:val="6BAB62DA"/>
    <w:rsid w:val="6DAB0962"/>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after="120"/>
    </w:pPr>
  </w:style>
  <w:style w:type="paragraph" w:styleId="5">
    <w:name w:val="Body Text Indent"/>
    <w:basedOn w:val="1"/>
    <w:uiPriority w:val="0"/>
    <w:pPr>
      <w:spacing w:line="440" w:lineRule="exact"/>
      <w:ind w:firstLine="560" w:firstLineChars="200"/>
    </w:pPr>
    <w:rPr>
      <w:sz w:val="28"/>
    </w:rPr>
  </w:style>
  <w:style w:type="paragraph" w:styleId="6">
    <w:name w:val="Body Text Indent 2"/>
    <w:basedOn w:val="1"/>
    <w:qFormat/>
    <w:uiPriority w:val="0"/>
    <w:pPr>
      <w:widowControl/>
      <w:spacing w:line="480" w:lineRule="exact"/>
      <w:ind w:firstLine="560" w:firstLineChars="200"/>
      <w:jc w:val="left"/>
    </w:pPr>
    <w:rPr>
      <w:sz w:val="2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qFormat/>
    <w:uiPriority w:val="0"/>
    <w:rPr>
      <w:color w:val="333333"/>
      <w:u w:val="none"/>
    </w:rPr>
  </w:style>
  <w:style w:type="paragraph" w:customStyle="1" w:styleId="16">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7">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19">
    <w:name w:val="contents1"/>
    <w:basedOn w:val="12"/>
    <w:uiPriority w:val="0"/>
    <w:rPr>
      <w:color w:val="000000"/>
      <w:sz w:val="21"/>
      <w:szCs w:val="21"/>
      <w:u w:val="none"/>
    </w:rPr>
  </w:style>
  <w:style w:type="character" w:customStyle="1" w:styleId="20">
    <w:name w:val="d31"/>
    <w:basedOn w:val="12"/>
    <w:uiPriority w:val="0"/>
    <w:rPr>
      <w:rFonts w:hint="default" w:ascii="_x001A_" w:hAnsi="_x001A_"/>
      <w:color w:val="0066FF"/>
      <w:sz w:val="21"/>
      <w:szCs w:val="21"/>
    </w:rPr>
  </w:style>
  <w:style w:type="character" w:customStyle="1" w:styleId="21">
    <w:name w:val="topstyle"/>
    <w:basedOn w:val="12"/>
    <w:uiPriority w:val="0"/>
  </w:style>
  <w:style w:type="character" w:customStyle="1" w:styleId="22">
    <w:name w:val="txtstyle1"/>
    <w:basedOn w:val="12"/>
    <w:uiPriority w:val="0"/>
    <w:rPr>
      <w:color w:val="666666"/>
      <w:sz w:val="18"/>
      <w:szCs w:val="18"/>
    </w:rPr>
  </w:style>
  <w:style w:type="character" w:customStyle="1" w:styleId="23">
    <w:name w:val="unnamed1"/>
    <w:basedOn w:val="12"/>
    <w:qFormat/>
    <w:uiPriority w:val="0"/>
  </w:style>
  <w:style w:type="paragraph" w:customStyle="1" w:styleId="24">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