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2"/>
          <w:szCs w:val="32"/>
          <w:shd w:val="clear" w:fill="FFFFFF"/>
        </w:rPr>
        <w:t>内部管理办法</w:t>
      </w:r>
    </w:p>
    <w:bookmarkEnd w:id="0"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t>       为认真落实《基金会管理条例》和《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t>基金会章程》，使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t>基金会内部管理工作规范化、制度化、科学化，特制定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t>基金会内部管理办法。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t>       本“办法”解释权属于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t>基金会（以下简称“基金会”）。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 会议制度</w:t>
      </w:r>
    </w:p>
    <w:p>
      <w:pPr>
        <w:keepNext w:val="0"/>
        <w:keepLines w:val="0"/>
        <w:widowControl/>
        <w:suppressLineNumbers w:val="0"/>
        <w:shd w:val="clear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基金会实行理事会、监事会议制度、专题会议和日常办公例会制度。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（一）理事会会议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1.理事会会议每年至少召开二次，原则上在上半年和下半年各开一次，特殊情况下可提前、推迟或增加召开。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理事会会议须三分之二以上理事出席会议方能召开，如有重大事项或三分之一以上理事提议，也应召开理事会议。参加理事会的人员包括：名誉会长、名誉副会长、理事长、副理事长、秘书长、理事、监事等。理事会会议决议须超过与会理事的半数通过方为有效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3.理事会会议由理事长或理事长授权秘书长负责召集和主持。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4.理事会会议主要任务是：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（1）制定、修改章程；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（2）选举、罢免理事长、副理事长、秘书长，讨论通过新理事；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（3）决定重大业务计划，包括基金募集、管理和使用计划；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（4）审定年度收支预算及决算；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（5）审议、修订内部管理制度；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（6）决定设立基金会分支机构、代表机构；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（7）听取、审议理事长工作报告；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（8）决定基金会的分立、合并或终止；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（9）决定其他重大事项。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5.理事会会议应形成会议“记录”、“纪要”并经与会理事签名，通晓全体理事。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6.理事会会议前，秘书处要做好提供会议讨论内容的材料准备工作，重要议题应在会前征求理事的意见。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（二）监事会会议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1.监事会会议议原则上每年召开两次，会议由监事会主席主持，全体监事参加，必要时邀请理事会有关人员参加。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2.监事会会议的召开及其决议的通过采取“两个复杂多数”的原则。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监事会会议主要依据《基金会管理条例》、《中华人民共和国会计法》等有关法律、法规和《北京万和公益基金会章程》规定的程序，审核基金会财务和会计资料，监督理事会遵守法律和章程的情况，向理事会提出质询和建议，听取秘书处有关情况的汇报，并向登记管理机关、业务主管单位以及税务、会计主管部门反映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4.监事会会议应形成会议“纪要”，必要时，应将讨论和研究的问题向基金会理事长或理事会及有关部门通报。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（三）专题会议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专题研究、协调和解决有关部门在工作中涉及面较大的某个重要问题。会议主要内容包括：研究本基金会专项工作的部署和落实；协调、及处理专项工作中的重要事务。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专题会议由理事长、秘书长或副秘书长召集和主持，相关业务部门和有关负责人参加。专题会议根据工作需要不定期召开。会议的组织、记录、纪要由相关业务部门负责。会议纪要由秘书长审核后作为档案由相关业务部门负责人保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（四）日常办公例会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 日常办公例会根据各部门工作需要，可随时召开，但要确保每两周至少召开一次，由秘书长或部门负责人召集和主持。主要内容为通报现有公益项目、其他事项进展情况；通报即将开展的公益活动及重要事项；协调和解决相关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 秘书处工作制度</w:t>
      </w:r>
    </w:p>
    <w:p>
      <w:pPr>
        <w:keepNext w:val="0"/>
        <w:keepLines w:val="0"/>
        <w:widowControl/>
        <w:suppressLineNumbers w:val="0"/>
        <w:shd w:val="clear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秘书处作为基金会常设办事机构，为本会的行政和协调机构，在理事会闭会期间，在秘书长领导下承办基金会日常工作，对理事会和理事长负责。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（一）机构设置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秘书处工作分五个部门管理：办公室、财务部、法务部、项目部、信息宣传部，分别由秘书长和副秘书长分工负责，分工不分家，大型活动需要时，不分岗位，全体参加。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1.办公室工作任务是：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（1）负责文电处理、档案管理；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（2）承担理事会等重要会议的组织筹备工作，起草有关报告和文件；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（3）负责日常接待咨询工作；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（4）各类证书、纪念品的制作及发放工作；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（5）负责后勤保障、固定资产的使用管理和安全保密工作；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（6）负责综合协调日常事务性工作；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（7）办理理事、监事人选的增补和协调事宜；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（8）制定基金会工作人员培训计划和组织实施；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（9）其他临时性工作。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2.财务部工作任务是：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（1）负责财务管理、基金运作和资金安全增值工作；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（2）负责编制年度预算、决算及其实施；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（3）负责对现金收、付业务进行核算、检查与监督；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（4）负责财政、金融信息和市场情况的调研，为基金安全增值提供决策参考；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（5）根据监事要求，提供相关资料；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（6）负责接收捐赠和专项基金的使用工作，建立完整的捐赠和资金使用档案，使每一项资金的捐赠与使用都有案可查。定期向捐资人提供协议执行情况，实行透明管理，让捐赠人满意放心；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（7）及时与民政部门、工商、税务、银行等部门联络，掌握政策变化，向领导提出合理化建议；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（8）领导交办的其他工作。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3.法务部工作任务是：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（1）负责各项协议的审查；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（2）把控项目运作的法律风险；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（3）与捐赠及合作方探讨项目可行性分析；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（4）其他一切涉及法律的事项；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（5）领导交办的其他工作。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4.项目部工作任务是：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（1）负责项目开发和实施工作；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（2）负责基金会对国内外的宣传工作，各类宣传用品的制作和发放；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（3）负责外事活动的协调工作；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（4）负责合作协议的洽谈和跟踪办理；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（5）负责项目大事记收集、整理工作；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（6）加强项目信息收集和资料积累，完善基金会工作档案；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（7）募资工作；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（8）领导交办的其他工作。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5.信息宣传部工作任务是：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（1）负责项目大事记的归总、上传工作；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（2）负责项目活动的媒体联系；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（3）负责网站维护管理；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（4）负责网站内容信息的搜集、整理，内容包括重大事务、外事活动、访问考察活动、访华团考察活动、重要出访活动等信息；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（5）及时对各部门提供的信息，进行统一分类、整理、汇总成发布稿件并按照程序审批后发布。对于登录信息，要及时存档备查；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（6）应按照规定及时对基金会网站进行管理、维护与更新，保证信息及时性、通达性、有效性。有关设备要定期巡检，保证网站每天24小时正常开通运转，以方便公众访问；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（7）负责对服务器和网站进行定期检测，并根据检测结果采取相应的措施，以防黑客利用系统漏洞和弱点非法入侵；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（8）其他临时性工作。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（二）秘书处工作人员守则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1.爱岗敬业，恪尽职守，依据《基金会管理条例》和《北京万和公益基金会章程》及民间非营利组织的有关规定为理事会当好“参谋”。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2.积极参加政治学习，养成良好的自学习惯，努力提高政治、业务水平。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3.坚持以人为本，竭力为捐资单位、个人和友好和平发展事业服务。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4.严守工作纪律，按时上下班，重大事项必须请示报告，个人不得擅自主张，不得随意对外表态，严格遵守保密规定。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5.团结友爱，分工协作，本分做人，踏实做事；文明礼貌，廉洁自律。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（三）加强信息收集和资料积累，完善基金会工作档案；发挥网络作用，重大活动及时上网公布；加强与理事和新闻媒体的沟通。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（四）根据监事要求，提供相关资料。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（五）办理理事、监事人选的增补和协调事宜。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（六）建立请示汇报制度。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包括但不限于下列重大问题，须书面向理事长请示：基金募集、基金运作、项目资助、接待来访、组团出访、国内出差、年度赞助计划、年终工作总结、年度预算决算、非计划内单项重大支出、人事问题等。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（七）休假制度。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带薪年休假(以下简称年休假)。基金会严格执行国家年休假制度，年休假本着统筹安排兼顾职工意愿原则，可在1个年度内集中安排，也可以分段安排，但不跨年度安排。为保障工作有序开展，休年休假要提前10个工作日以书面表格形式向部门负责人提出并报秘书长同意后方可。具体年休假标准为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（1）入基金会累计工作已满1年不满10年的，年休假5天；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（2）入基金会累计工作已满10年不满20年的，年休假10天；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（3）入基金会累计工作已满20年的，年休假15天。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（4）国家法定休假日、休息日不计入年休假的假期。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但有下列情形之一的，不享受当年的年休假：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（1）休假天数多于年休假天数的；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（2）请事假累计20天以上且单位按照规定不扣工资的；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（3）累计工作满1年不满10年，请病假累计2个月以上的；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（4）累计工作满10年不满20年，请病假累计3个月以上的；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（5）累计工作满20年以上，请病假累计4个月以上的。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2.事假、病假制度。事假不得先斩后奏，休3天以内须经分管副秘书长同意，7天须经秘书长同意，7天以上须报理事长同意；病假须提供正规医院出具的病假证明，特殊情况可于病假中或病假后提供。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 各级人员工作职责</w:t>
      </w:r>
    </w:p>
    <w:p>
      <w:pPr>
        <w:keepNext w:val="0"/>
        <w:keepLines w:val="0"/>
        <w:widowControl/>
        <w:suppressLineNumbers w:val="0"/>
        <w:shd w:val="clear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（一）理事长职责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1.理事长是基金会的法人代表，领导基金会的全面工作。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2.召集和主持理事会会议。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3.检查理事会决议的落实情况。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4.代表基金会签署重要文件。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5.审批限额以上及预算外的开支，检查财务收支情况。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6.章程和理事会赋予的其他职责。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（二）秘书长职责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1.秘书长在理事长领导下开展工作，按照《章程》规定行使权力,并经理事长授权审批基金会财务收支工作（本“办法”经党组批准或理事会通过视为授权）。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2.主持基金会日常工作，组织实施理事会决议、决定。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3.参与基金会重大事项的决策。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4.协助理事长对基金会进行管理。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5.组织起草需提交理事会议的各项工作计划、方案、制度和工作总结。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6.根据《基金会年度检查办法》，组织起草上一年度的年度工作报告。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7.筹备召开理事会的各项工作。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8.完成理事长交办的其他工作。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（三）副秘书长职责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1.协助秘书长工作。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2.做好基金运作和项目开发实施工作。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3.做好本“办法”第五章（一）、（二）款中的工作。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4.做好为理事会会议和年度工作报告提供分管工作的情况素材工作。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5.完成秘书长交办的其他工作。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（四）会计职责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1.认真学习和严格遵守《中华人民共和国会计法》和各种财经政策、纪律和有关财务制度。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2.按照《中华人民共和国会计法》和《民间非营利组织会计制度》设置各种会计帐薄、科目，并依法进行会计核算。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3.根据年度收支预算，控制资金使用。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4.负责填制和审核收支凭证，监督和抵制一切不符合财经政策和纪律的收支凭证。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5.及时整理财务凭证，认真清理基金会的财务收支帐目，及时编制会计报表，月末向秘书长报告当月财务收支情况。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6.建立会计凭证、帐薄表册、财务文件、会计报表等档案，资料分月装订，年终建档，妥善保管，未经批准不得销毁；妥善保管财务专用印章、法人代表名章，并按规定使用印章。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7.会计人员调离或因故离职，应将经手会计凭证、帐册、文件资料及未了事项如实移交，并由会计主管人员或主管领导负责监交；移交人、接交人等均要在移交清册上签字。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8.财政、银行、审计、税务等部门及上级机关检查基金会有关财务情况，需抽查会计资料时，经理事长或秘书长同意后，会计人员应如实反映有关情况，提供有关资料。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9.注意了解国家财经政策，观察金融市场动向，跟踪本基金会资金运作市场情况，保证资金运作安全，并及时提出调整资金运作建议，供决策参考。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（五）出纳员职责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1.认真学习并严格遵守国家的财经政策、法规和有关的财务制度，不断提高政策和业务水平。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2.认真学习《中华人民共和国会计法》和《民间非营利组织会计制度》，认真审核报销单据和支出原始凭证，必须有经手人签字和相关领导审批同意，并核对领导审批权限，对违反财经规定的应拒绝办理。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3.坚持原始凭证逐日登记入帐，并及时掌握银行存款数额，所有帐目必须数字准确、摘要清楚、填写工整。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4.贯彻执行银行结算制度和货币管理制度，财务印鉴必须与会计分管，不得签发空头支票，签发一切支票和现金借出，必须办理审批手续。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严格执行安全制度，认真管理好现金、空白支票、空白收据及其他有价证券，库存现金超过银行规定限额，应及时存入银行，不得转借和坐支，不得“白条”抵库，更不得贪污挪用。违反制度造成损失，追究当事人的责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6.负责固定资产的登记、立档工作。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（六）办公室人员职责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1.负责基金会文件保管，做好文件收发、催办、归档等工作。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2.负责办公用品、礼品的采购和管理，不得假公济私。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3.负责接洽来人来访，并做好上传下达工作。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4.负责资料上报工作。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5.负责基金会的各种文字材料的整理、装订和保存。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6.负责基金会有关资料的网上操作。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7.负责基金会固定资产的使用、维护、管理工作.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8.负责办公室其他日常行政工作。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9.完成领导布置的各项工作。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（七）业务人员职责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1.募资工作。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2.负责项目开发和实施工作。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3.负责外事活动的协调工作。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4.负责合作协议的洽谈和跟踪办理。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5.负责项目大事记收集、上传工作。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6.网站维护管理。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7.各项协议的审核及项目运作的风险把控。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8.领导布置的其他工作任务。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  公文管理制度</w:t>
      </w:r>
    </w:p>
    <w:p>
      <w:pPr>
        <w:keepNext w:val="0"/>
        <w:keepLines w:val="0"/>
        <w:widowControl/>
        <w:suppressLineNumbers w:val="0"/>
        <w:shd w:val="clear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（一）收文管理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1.基金会收到公文、函件后，由专职人员统一登记并报送秘书长阅处，涉及重大问题的公文，由秘书长报送理事长审批。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2.报批文件应明确提出处理意见。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3.一份文件或一个项目的多份文件在处理完毕后，要及时收集齐全存档。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（二）发文管理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1.以基金会名义发文，由理事长签发；以基金会名义发便函，由理事长或理事长授权秘书长签发。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2.对外公文代表一个单位的形象，要求公文格式正确、文字精练、语言通顺、打印整齐。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3.以基金会发出的所有文件必须用印。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4.重要和涉密文件收文单位在本市的可以通过机要交换或直接送达，外省市的可通过机要交换或使用特快专递邮寄，并电话跟踪收件情况。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5.所有发文的原始批件都要留存归档。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（三）公文处理办法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为进一步规范本基金会公文处理工作，根据《党政机关公文处理工作条例》&lt;中办发（2012）14号&gt;的有关规定及《全国友协机关公文处理办法》并结合本单位实际工作情况，特制定本办法。办法中涉及的具体公文字体、字号、模版请参阅《全国友协机关公文处理办法》（2012版）中具体规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1.公文种类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本基金会公文种类有决议、决定、通知、报告、请示、函、接待计划、简报、谈话参考、电报、记录、纪要。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（1）决议。适用于会议讨论通过的重大决策事项。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（2）决定。适用于对重要事项作出决策和部署、奖惩有关单位和人员、变更或者撤销下级机关不适当的决定事项。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（3）通知。传达需有关单位周知或者执行的事项。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（4）报告。适用于向上级机关汇报工作、反映情况，回复上级机关的询问。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（5）请示。适用于向上级机关请求指示、批准。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（6）函。适用于不相隶属机关之间商洽工作、询问和答复问题、请求批准和答复审批事项。函的格式同通知格式。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（7）接待计划。适用于对来访团组各项接待事务进行合理安排。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（8）简报。适用于对组织的公益活动有关情况进行不同种类、不同重要程度、不同发放范围的文字汇报。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（9）谈话参考。适用于领导人会见重要人士、举行会谈时的谈话参考资料。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（10）电报。分明电和密电。适用于向有关单位快速通报有关情况、征求意见。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（11）记录。适用于会议、会谈、会见，如实详尽反映会议情况。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（12）纪要。适用于记载会议主要情况和议定事项。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2.公文格式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公文一般由份号、密级和保密期限、紧急程度、发文机关标志、发文字号、签发人、标题、主送机关、正文、附件说明、发文机关署名、成文日期、印章、附注、附件、抄送机关、印发机关和印发日期、页码等组成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（1）份号。同一件公文印制若干份时每份公文的顺序编号，涉密公文一定要标注份号。用6位3号黑体阿拉伯数字，顶格编排在版心左上角第1行。发文时必须登记公文发往单位以及与其对应的号码段。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（2）密级和保密期限。涉及国家秘密的公文必须标明密级。非涉密公文在履行公布程序之前也要做好安全保密工作，禁止未经批准就挂在网上。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本基金会公文最高密级为“机密”；保密期限一般不超过3年，特殊情况例外。密级和保密期限用3号黑体字，顶格编排在版心左上角第2行，保密期限中的数字用阿拉伯数字标注。密级和保密期限中间用“★”隔开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紧急程度。紧急公文应当根据紧急程度分别标注“特急”“加急”，电报根据紧急程度分别标注“特提”“特急”“加急”“平急”。公文（不含电报）的紧急程度用3号黑体字，顶格编排在版心左上角，如需同时标注份号、密级和保密期限、紧急程度，依次自上而下排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（4）发文字号。由机关代字、年份、发文顺序号组成。根据文种需要，使用3号仿宋字，标注在文件的适当位置。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（5）签发人。上报公文应当标准签发人姓名，体现机关负责人应对对所签发的公文负责。“签发人”使用3号仿宋字，姓名使用3号楷体字，右空1字标注在红色分隔线上方。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（6）标题。由发文机关名称、事由和文种组成。使用2号加粗宋体字编排于红色分隔线下空2行位置。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主送机关。公文的主要受理机关，应当使用机关全称、规范化简称或者同类型机关统称。报关外交部的公文不写主送机关。使用3号仿宋字编排于标题下空1行位置，居左顶格，回行时仍顶格，最后一个机关名称后面标全角冒号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（8）正文。公文的主体，用来表述公文的内容。公文首页需显示正文，首个盖章页应当显示正文。正文用3号仿宋字编排于主送机关名称下1行。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（9）附件说明。公文如有附件，应在正文中涉及附件内容处加括号注明（见附件）或（附后），并使用3号仿宋字在正文下空1行左空2字位置编排“附件”二字。后标全角冒号和附件名称。单一附件不标顺序号。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（10）发文机关署名。发机关名义发文应署：中国人民对外友好协会或全国友协，以基金会名义发文应署：北京万和公益基金会。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（11）成文日期。署会议通过或者发文机关负责人签发的日期。联合行文时，署最后签发机关负责人签发的日期。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（12）印章。公文中有发文机关署名的，应当加盖发文机关印章，并与署名机关相符。有特定发文机关标志的普发性公文和电报可以不加盖印章。</w:t>
      </w:r>
    </w:p>
    <w:p>
      <w:pPr>
        <w:shd w:val="clear"/>
        <w:rPr>
          <w:sz w:val="24"/>
          <w:szCs w:val="24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02733282"/>
    <w:rsid w:val="04C53015"/>
    <w:rsid w:val="04DD2BC1"/>
    <w:rsid w:val="09853AFC"/>
    <w:rsid w:val="121418A5"/>
    <w:rsid w:val="16E90350"/>
    <w:rsid w:val="186B1527"/>
    <w:rsid w:val="1C5615B0"/>
    <w:rsid w:val="256917B1"/>
    <w:rsid w:val="3D056E6F"/>
    <w:rsid w:val="40CA7299"/>
    <w:rsid w:val="45513051"/>
    <w:rsid w:val="50230218"/>
    <w:rsid w:val="5C4D1A01"/>
    <w:rsid w:val="5DF53E7B"/>
    <w:rsid w:val="5FF82557"/>
    <w:rsid w:val="6BAB62DA"/>
    <w:rsid w:val="6DAB0962"/>
    <w:rsid w:val="6DEF6FE8"/>
    <w:rsid w:val="74B2169B"/>
    <w:rsid w:val="79B80A30"/>
    <w:rsid w:val="7AC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7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paragraph" w:customStyle="1" w:styleId="17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8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9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  <w:style w:type="character" w:customStyle="1" w:styleId="20">
    <w:name w:val="contents1"/>
    <w:basedOn w:val="13"/>
    <w:uiPriority w:val="0"/>
    <w:rPr>
      <w:color w:val="000000"/>
      <w:sz w:val="21"/>
      <w:szCs w:val="21"/>
      <w:u w:val="none"/>
    </w:rPr>
  </w:style>
  <w:style w:type="character" w:customStyle="1" w:styleId="21">
    <w:name w:val="d31"/>
    <w:basedOn w:val="13"/>
    <w:uiPriority w:val="0"/>
    <w:rPr>
      <w:rFonts w:hint="default" w:ascii="_x001A_" w:hAnsi="_x001A_"/>
      <w:color w:val="0066FF"/>
      <w:sz w:val="21"/>
      <w:szCs w:val="21"/>
    </w:rPr>
  </w:style>
  <w:style w:type="character" w:customStyle="1" w:styleId="22">
    <w:name w:val="topstyle"/>
    <w:basedOn w:val="13"/>
    <w:uiPriority w:val="0"/>
  </w:style>
  <w:style w:type="character" w:customStyle="1" w:styleId="23">
    <w:name w:val="txtstyle1"/>
    <w:basedOn w:val="13"/>
    <w:uiPriority w:val="0"/>
    <w:rPr>
      <w:color w:val="666666"/>
      <w:sz w:val="18"/>
      <w:szCs w:val="18"/>
    </w:rPr>
  </w:style>
  <w:style w:type="character" w:customStyle="1" w:styleId="24">
    <w:name w:val="unnamed1"/>
    <w:basedOn w:val="13"/>
    <w:qFormat/>
    <w:uiPriority w:val="0"/>
  </w:style>
  <w:style w:type="paragraph" w:customStyle="1" w:styleId="2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