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150"/>
        <w:jc w:val="center"/>
        <w:rPr>
          <w:rFonts w:hint="eastAsia" w:ascii="楷体" w:hAnsi="楷体" w:eastAsia="楷体" w:cs="楷体"/>
          <w:b/>
          <w:color w:val="auto"/>
          <w:sz w:val="48"/>
          <w:szCs w:val="48"/>
        </w:rPr>
      </w:pPr>
      <w:r>
        <w:rPr>
          <w:rFonts w:hint="eastAsia" w:ascii="楷体" w:hAnsi="楷体" w:eastAsia="楷体" w:cs="楷体"/>
          <w:b/>
          <w:color w:val="auto"/>
          <w:sz w:val="48"/>
          <w:szCs w:val="48"/>
        </w:rPr>
        <w:t>关联方关系</w:t>
      </w:r>
    </w:p>
    <w:p>
      <w:pPr>
        <w:spacing w:line="360" w:lineRule="auto"/>
        <w:ind w:firstLine="723" w:firstLineChars="150"/>
        <w:jc w:val="center"/>
        <w:rPr>
          <w:rFonts w:hint="eastAsia" w:ascii="楷体" w:hAnsi="楷体" w:eastAsia="楷体" w:cs="楷体"/>
          <w:b/>
          <w:color w:val="FF0000"/>
          <w:sz w:val="48"/>
          <w:szCs w:val="48"/>
        </w:rPr>
      </w:pPr>
    </w:p>
    <w:tbl>
      <w:tblPr>
        <w:tblStyle w:val="2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3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关联方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名称</w:t>
            </w:r>
          </w:p>
        </w:tc>
        <w:tc>
          <w:tcPr>
            <w:tcW w:w="48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基金会</w:t>
            </w:r>
            <w:r>
              <w:rPr>
                <w:rFonts w:hint="eastAsia" w:ascii="宋体" w:hAnsi="宋体"/>
                <w:b/>
                <w:szCs w:val="21"/>
              </w:rPr>
              <w:t>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刘明山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发起人、主要捐赠人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刘亚超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发起人、主要捐赠人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未来伟业（北京）医疗设备有限公司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基金会理事主要来源单位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京师律师事务所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基金会理事主要来源单位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北京图昌国际贸易有限公司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基金会理事主要来源单位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D163C"/>
    <w:rsid w:val="26AD46CB"/>
    <w:rsid w:val="30050575"/>
    <w:rsid w:val="5B2D163C"/>
    <w:rsid w:val="7175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2019-01-04T04:08:00Z</dcterms:created>
  <dc:creator>刘亚超</dc:creator>
  <cp:lastModifiedBy>刘亚超</cp:lastModifiedBy>
  <cp:lastPrinted>2019-01-04T04:10:00Z</cp:lastPrinted>
  <dcterms:modified xsi:type="dcterms:W3CDTF">2020-03-30T04:37:52Z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