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278" w:hRule="atLeast"/>
                <w:tblCellSpacing w:w="0" w:type="dxa"/>
              </w:trPr>
              <w:tc>
                <w:tcPr>
                  <w:tcW w:w="8306" w:type="dxa"/>
                  <w:shd w:val="clear"/>
                  <w:vAlign w:val="center"/>
                </w:tcPr>
                <w:p>
                  <w:pPr>
                    <w:keepNext w:val="0"/>
                    <w:keepLines w:val="0"/>
                    <w:widowControl/>
                    <w:suppressLineNumbers w:val="0"/>
                    <w:spacing w:before="0" w:beforeAutospacing="0" w:after="0" w:afterAutospacing="0" w:line="320" w:lineRule="atLeast"/>
                    <w:ind w:left="0" w:right="0"/>
                    <w:jc w:val="center"/>
                    <w:rPr>
                      <w:rFonts w:hint="eastAsia" w:ascii="微软雅黑" w:hAnsi="微软雅黑" w:eastAsia="微软雅黑" w:cs="微软雅黑"/>
                      <w:b/>
                      <w:color w:val="185895"/>
                      <w:sz w:val="28"/>
                      <w:szCs w:val="28"/>
                    </w:rPr>
                  </w:pPr>
                  <w:r>
                    <w:rPr>
                      <w:rFonts w:hint="eastAsia" w:ascii="微软雅黑" w:hAnsi="微软雅黑" w:eastAsia="微软雅黑" w:cs="微软雅黑"/>
                      <w:b/>
                      <w:color w:val="185895"/>
                      <w:kern w:val="0"/>
                      <w:sz w:val="28"/>
                      <w:szCs w:val="28"/>
                      <w:lang w:val="en-US" w:eastAsia="zh-CN" w:bidi="ar"/>
                    </w:rPr>
                    <w:t>财政部关于加强企业对外捐赠财务管理的</w:t>
                  </w:r>
                  <w:bookmarkStart w:id="0" w:name="_GoBack"/>
                  <w:bookmarkEnd w:id="0"/>
                  <w:r>
                    <w:rPr>
                      <w:rFonts w:hint="eastAsia" w:ascii="微软雅黑" w:hAnsi="微软雅黑" w:eastAsia="微软雅黑" w:cs="微软雅黑"/>
                      <w:b/>
                      <w:color w:val="185895"/>
                      <w:kern w:val="0"/>
                      <w:sz w:val="28"/>
                      <w:szCs w:val="28"/>
                      <w:lang w:val="en-US" w:eastAsia="zh-CN" w:bidi="ar"/>
                    </w:rPr>
                    <w:t xml:space="preserve">通知 </w:t>
                  </w:r>
                </w:p>
              </w:tc>
            </w:tr>
          </w:tbl>
          <w:p>
            <w:pPr>
              <w:rPr>
                <w:rFonts w:hint="eastAsia" w:ascii="微软雅黑" w:hAnsi="微软雅黑" w:eastAsia="微软雅黑" w:cs="微软雅黑"/>
                <w:vanish/>
                <w:sz w:val="28"/>
                <w:szCs w:val="28"/>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8" w:hRule="atLeast"/>
                <w:tblCellSpacing w:w="0" w:type="dxa"/>
                <w:hidden/>
              </w:trPr>
              <w:tc>
                <w:tcPr>
                  <w:tcW w:w="8306" w:type="dxa"/>
                  <w:shd w:val="clear"/>
                  <w:vAlign w:val="center"/>
                </w:tcPr>
                <w:p>
                  <w:pPr>
                    <w:keepNext w:val="0"/>
                    <w:keepLines w:val="0"/>
                    <w:widowControl/>
                    <w:suppressLineNumbers w:val="0"/>
                    <w:spacing w:line="160" w:lineRule="atLeast"/>
                    <w:jc w:val="center"/>
                    <w:rPr>
                      <w:rFonts w:hint="eastAsia" w:ascii="微软雅黑" w:hAnsi="微软雅黑" w:eastAsia="微软雅黑" w:cs="微软雅黑"/>
                      <w:color w:val="99C2E2"/>
                      <w:sz w:val="28"/>
                      <w:szCs w:val="28"/>
                    </w:rPr>
                  </w:pPr>
                  <w:r>
                    <w:rPr>
                      <w:rFonts w:hint="eastAsia" w:ascii="微软雅黑" w:hAnsi="微软雅黑" w:eastAsia="微软雅黑" w:cs="微软雅黑"/>
                      <w:vanish/>
                      <w:sz w:val="28"/>
                      <w:szCs w:val="28"/>
                    </w:rPr>
                    <w:pict>
                      <v:rect id="_x0000_i1025" o:spt="1" style="height:1.5pt;width:262.5pt;" fillcolor="#99C2E2" filled="t" stroked="f" coordsize="21600,21600" o:hr="t" o:hrstd="t" o:hrnoshade="t" o:hrpct="0" o:hralign="center">
                        <v:path/>
                        <v:fill on="t" focussize="0,0"/>
                        <v:stroke on="f"/>
                        <v:imagedata o:title=""/>
                        <o:lock v:ext="edit"/>
                        <w10:wrap type="none"/>
                        <w10:anchorlock/>
                      </v:rect>
                    </w:pict>
                  </w:r>
                </w:p>
              </w:tc>
            </w:tr>
          </w:tbl>
          <w:p>
            <w:pPr>
              <w:rPr>
                <w:rFonts w:hint="eastAsia" w:ascii="微软雅黑" w:hAnsi="微软雅黑" w:eastAsia="微软雅黑" w:cs="微软雅黑"/>
                <w:vanish/>
                <w:sz w:val="28"/>
                <w:szCs w:val="28"/>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trPr>
              <w:tc>
                <w:tcPr>
                  <w:tcW w:w="8306" w:type="dxa"/>
                  <w:shd w:val="clear"/>
                  <w:vAlign w:val="center"/>
                </w:tcPr>
                <w:p>
                  <w:pPr>
                    <w:jc w:val="left"/>
                    <w:rPr>
                      <w:rFonts w:hint="eastAsia" w:ascii="微软雅黑" w:hAnsi="微软雅黑" w:eastAsia="微软雅黑" w:cs="微软雅黑"/>
                      <w:sz w:val="28"/>
                      <w:szCs w:val="28"/>
                    </w:rPr>
                  </w:pPr>
                </w:p>
              </w:tc>
            </w:tr>
          </w:tbl>
          <w:p>
            <w:pPr>
              <w:jc w:val="left"/>
              <w:rPr>
                <w:rFonts w:hint="eastAsia" w:ascii="微软雅黑" w:hAnsi="微软雅黑" w:eastAsia="微软雅黑" w:cs="微软雅黑"/>
                <w:i w:val="0"/>
                <w:caps w:val="0"/>
                <w:color w:val="000000"/>
                <w:spacing w:val="0"/>
                <w:sz w:val="28"/>
                <w:szCs w:val="28"/>
                <w:u w:val="none"/>
              </w:rPr>
            </w:pPr>
          </w:p>
        </w:tc>
      </w:tr>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570" w:hRule="atLeast"/>
                <w:tblCellSpacing w:w="0" w:type="dxa"/>
              </w:trPr>
              <w:tc>
                <w:tcPr>
                  <w:tcW w:w="8306" w:type="dxa"/>
                  <w:shd w:val="clear" w:color="auto" w:fill="FFFFFF"/>
                  <w:vAlign w:val="top"/>
                </w:tcPr>
                <w:tbl>
                  <w:tblPr>
                    <w:tblW w:w="7060" w:type="dxa"/>
                    <w:jc w:val="center"/>
                    <w:tblCellSpacing w:w="0" w:type="dxa"/>
                    <w:tblInd w:w="623" w:type="dxa"/>
                    <w:shd w:val="clear"/>
                    <w:tblLayout w:type="fixed"/>
                    <w:tblCellMar>
                      <w:top w:w="0" w:type="dxa"/>
                      <w:left w:w="0" w:type="dxa"/>
                      <w:bottom w:w="0" w:type="dxa"/>
                      <w:right w:w="0" w:type="dxa"/>
                    </w:tblCellMar>
                  </w:tblPr>
                  <w:tblGrid>
                    <w:gridCol w:w="7060"/>
                  </w:tblGrid>
                  <w:tr>
                    <w:tblPrEx>
                      <w:tblLayout w:type="fixed"/>
                      <w:tblCellMar>
                        <w:top w:w="0" w:type="dxa"/>
                        <w:left w:w="0" w:type="dxa"/>
                        <w:bottom w:w="0" w:type="dxa"/>
                        <w:right w:w="0" w:type="dxa"/>
                      </w:tblCellMar>
                    </w:tblPrEx>
                    <w:trPr>
                      <w:tblCellSpacing w:w="0" w:type="dxa"/>
                      <w:jc w:val="center"/>
                    </w:trPr>
                    <w:tc>
                      <w:tcPr>
                        <w:tcW w:w="7060" w:type="dxa"/>
                        <w:shd w:val="clear"/>
                        <w:vAlign w:val="center"/>
                      </w:tcPr>
                      <w:p>
                        <w:pPr>
                          <w:pStyle w:val="2"/>
                          <w:keepNext w:val="0"/>
                          <w:keepLines w:val="0"/>
                          <w:widowControl/>
                          <w:suppressLineNumbers w:val="0"/>
                          <w:spacing w:line="220" w:lineRule="atLeas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2003年3月14日    财企[2003]95号</w:t>
                        </w:r>
                      </w:p>
                      <w:p>
                        <w:pPr>
                          <w:pStyle w:val="2"/>
                          <w:keepNext w:val="0"/>
                          <w:keepLines w:val="0"/>
                          <w:widowControl/>
                          <w:suppressLineNumbers w:val="0"/>
                          <w:spacing w:line="220" w:lineRule="atLeas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国务院各部委、各直属机构，各省、自治区、直辖市、计划单列市财政厅(局)，各中央管理企业，总后勤部，新疆生产建设兵团财务局：</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通过对外捐赠回报社会，对塑造友善的社会风尚，培育良好的社会道德，推动社会主义精神文明建设具有积极意义。为了规范各类型企业的对外捐赠行为，加强企业财务管理，维护所有者权益，促进社会公益事业的发展，根据《中华人民共和国公益事业捐赠法》和《企业财务通则》的有关规定，现将企业对外捐赠财务管理若干问题通知如下：</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Style w:val="4"/>
                            <w:rFonts w:hint="eastAsia" w:ascii="微软雅黑" w:hAnsi="微软雅黑" w:eastAsia="微软雅黑" w:cs="微软雅黑"/>
                            <w:sz w:val="28"/>
                            <w:szCs w:val="28"/>
                          </w:rPr>
                          <w:t>　一、对外捐赠的定义和途径</w:t>
                        </w:r>
                        <w:r>
                          <w:rPr>
                            <w:rStyle w:val="4"/>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对外捐赠是指企业自愿无偿将其有权处分的合法财产赠送给合法的受赠人用于与生产经营活动没有直接关系的公益事业的行为。</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对外捐赠应当遵循《中华人民共和国公益事业捐赠法》以及国家其他有关法律、法规的规定，通过依法成立的公益性社会团体和公益性非营利的事业单位或者县级以上人民政府及其组成部门进行。特殊情况下，也可以通过合法的新闻媒体等进行。</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Style w:val="4"/>
                            <w:rFonts w:hint="eastAsia" w:ascii="微软雅黑" w:hAnsi="微软雅黑" w:eastAsia="微软雅黑" w:cs="微软雅黑"/>
                            <w:sz w:val="28"/>
                            <w:szCs w:val="28"/>
                          </w:rPr>
                          <w:t>　二、对外捐赠的原则和要求</w:t>
                        </w:r>
                        <w:r>
                          <w:rPr>
                            <w:rStyle w:val="4"/>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企业对外捐赠一般应当遵循以下原则和要求：</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（一）自愿无偿。企业对外捐赠后，不得要求受赠方在融资、市场准入、行政许可、占有其他资源等方面创造便利条件，从而导致市场不公平竞争。</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（二）权责清晰。企业经营者或者其他职工不得将企业拥有的财产以个人名义对外捐赠，企业对外捐赠有权要求受赠人落实自己正当的捐赠意愿。</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（三）量力而行。企业已经发生亏损或者由于对外捐赠将导致亏损或者影响企业正常生产经营的，除特殊情况以外，一般不能对外捐赠。</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（四）诚实守信。企业按照内部议事规范审议决定并已经向社会公众或者受赠对象承诺的捐赠，必须诚实履行。</w:t>
                        </w:r>
                        <w:r>
                          <w:rPr>
                            <w:rFonts w:hint="eastAsia" w:ascii="微软雅黑" w:hAnsi="微软雅黑" w:eastAsia="微软雅黑" w:cs="微软雅黑"/>
                            <w:sz w:val="28"/>
                            <w:szCs w:val="28"/>
                          </w:rPr>
                          <w:br w:type="textWrapping"/>
                        </w:r>
                        <w:r>
                          <w:rPr>
                            <w:rStyle w:val="4"/>
                            <w:rFonts w:hint="eastAsia" w:ascii="微软雅黑" w:hAnsi="微软雅黑" w:eastAsia="微软雅黑" w:cs="微软雅黑"/>
                            <w:sz w:val="28"/>
                            <w:szCs w:val="28"/>
                          </w:rPr>
                          <w:t>　　三、对外捐赠的类型和对象</w:t>
                        </w:r>
                        <w:r>
                          <w:rPr>
                            <w:rStyle w:val="4"/>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企业一般可以按照以下类型进行对外捐赠：</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（一）公益性捐赠，即向教育、科学、文化、卫生医疗、体育事业和环境保护、社会公共设施建设的捐赠。</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救济性捐赠，即向遭受自然灾害或者国家确认的“老、少、边、穷”等地区以及慈善协会、红十字会、残疾人联合会、青少年基金会等社会团体或者困难的社会弱势群体和个人提供的用于生产、生活救济、救助的捐赠。</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（三）其他捐赠，即除上述捐赠以外，企业出于弘扬人道主义目的或者促进社会发展与进步的其他社会公共福利事业的捐赠。</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Style w:val="4"/>
                            <w:rFonts w:hint="eastAsia" w:ascii="微软雅黑" w:hAnsi="微软雅黑" w:eastAsia="微软雅黑" w:cs="微软雅黑"/>
                            <w:sz w:val="28"/>
                            <w:szCs w:val="28"/>
                          </w:rPr>
                          <w:t>　四、对外捐赠的范围</w:t>
                        </w:r>
                        <w:r>
                          <w:rPr>
                            <w:rStyle w:val="4"/>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可以用于对外捐赠的财产包括现金、库存商品和其他物资。企业生产经营需用的主要固定资产、持有的股权和债权、国家特准储备物资、国家财政拨款、受托代管财产、已设置担保物权的财产、权属关系不清的财产，或者变质、残损、过期报废的商品物资，不得用于对外捐赠。</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企业对外捐赠的受益人应当为企业外部的单位、社会弱势群体或者个人。对企业内部职工、与企业在经营或者财务方面具有控制与被控制关系的单位，企业不得给予捐赠。</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企业以营利为目的自办或者与他人共同举办教育、文化、卫生、体育、科学、环境保护等经营实体的，应当作为对外投资管理。</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企业为宣传企业形象、推介企业产品发生的赞助性支出，应当按照广告费用进行管理。对于政府有关部门、机构、团体或者某些个人强令的赞助，企业应当依法拒绝。</w:t>
                        </w:r>
                        <w:r>
                          <w:rPr>
                            <w:rFonts w:hint="eastAsia" w:ascii="微软雅黑" w:hAnsi="微软雅黑" w:eastAsia="微软雅黑" w:cs="微软雅黑"/>
                            <w:sz w:val="28"/>
                            <w:szCs w:val="28"/>
                          </w:rPr>
                          <w:br w:type="textWrapping"/>
                        </w:r>
                        <w:r>
                          <w:rPr>
                            <w:rStyle w:val="4"/>
                            <w:rFonts w:hint="eastAsia" w:ascii="微软雅黑" w:hAnsi="微软雅黑" w:eastAsia="微软雅黑" w:cs="微软雅黑"/>
                            <w:sz w:val="28"/>
                            <w:szCs w:val="28"/>
                          </w:rPr>
                          <w:t>　　五、对外捐赠的内部管理程序</w:t>
                        </w:r>
                        <w:r>
                          <w:rPr>
                            <w:rStyle w:val="4"/>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企业对外捐赠，应当由经办部门和人员提出捐赠报告，捐赠报告应当包括以下内容：捐赠事由、捐赠对象、捐赠途径、捐赠方式、捐赠责任人、捐赠财产构成及其数额以及捐赠财产交接程序。</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企业财务部门应当对捐赠方案进行审核，并就捐赠支出对企业财务状况和经营成果的影响进行分析，提出审核意见后，按照企业内部管理制度提交企业董事会或者经理（厂长）办公会审议决定。</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对于重大的对外捐赠事项，国有及国有控股企业应当提交职工代表大会审议，上报国有资本持有单位备案后实施；公司制企业应当按照《中华人民共和国公司法》以及公司章程等有关规定执行。</w:t>
                        </w:r>
                        <w:r>
                          <w:rPr>
                            <w:rFonts w:hint="eastAsia" w:ascii="微软雅黑" w:hAnsi="微软雅黑" w:eastAsia="微软雅黑" w:cs="微软雅黑"/>
                            <w:sz w:val="28"/>
                            <w:szCs w:val="28"/>
                          </w:rPr>
                          <w:br w:type="textWrapping"/>
                        </w:r>
                        <w:r>
                          <w:rPr>
                            <w:rStyle w:val="4"/>
                            <w:rFonts w:hint="eastAsia" w:ascii="微软雅黑" w:hAnsi="微软雅黑" w:eastAsia="微软雅黑" w:cs="微软雅黑"/>
                            <w:sz w:val="28"/>
                            <w:szCs w:val="28"/>
                          </w:rPr>
                          <w:t>　　六、对外捐赠的财务处理</w:t>
                        </w:r>
                        <w:r>
                          <w:rPr>
                            <w:rStyle w:val="4"/>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企业对外捐赠应当控制在当年企业财务预算幅度内，按照批准的方案执行，并按照国家税收法律法规的规定申报纳税扣除。</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实际发生的对外捐赠支出，应当依据受赠方出具的省级以上财政部门统一印（监）制的捐赠收据或者捐赠资产交接清单确认；救灾、济贫等对困难的社会弱势群体和个人的捐赠，无法索取省级以上财政部门统一印（监）制的捐赠收据的，应当依据城镇街道、农村乡村等基层政府组织出具的证明和企业法定负责人审批的捐赠报告确认。</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为捐赠资产提供运输、保管以及举办捐赠仪式等所发生的费用，应当作为期间费用处理，不得挂账。企业负责对外捐赠的主管人员和其他直接责任人员，不得以任何借口向受赠人或者受益人索要或者收受回扣、佣金、信息费、劳务费等财物。</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企业经过董事会或者经理（厂长）办公会审议，并且国有及国有控股企业上报国有资本持有单位批准，公司制企业按照《中华人民共和国公司法》以及公司　　章程等有关规定批准，将修建的交通、通信、供水、供电等社会公共设施无偿移交当地人民政府或者有关部门的，可以核减资本公积金，并应当与接受方签订相关协议，双方办理资产交接手续。</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由于战争、自然灾害等不可抗力原因，企业所拥有的财产被当地县级及县级以上人民政府或人民武装组织征用的，扣除当地政府或人民武装组织依法补偿金后的差额，应当作为资产损失处理。</w:t>
                        </w:r>
                        <w:r>
                          <w:rPr>
                            <w:rFonts w:hint="eastAsia" w:ascii="微软雅黑" w:hAnsi="微软雅黑" w:eastAsia="微软雅黑" w:cs="微软雅黑"/>
                            <w:sz w:val="28"/>
                            <w:szCs w:val="28"/>
                          </w:rPr>
                          <w:br w:type="textWrapping"/>
                        </w:r>
                        <w:r>
                          <w:rPr>
                            <w:rStyle w:val="4"/>
                            <w:rFonts w:hint="eastAsia" w:ascii="微软雅黑" w:hAnsi="微软雅黑" w:eastAsia="微软雅黑" w:cs="微软雅黑"/>
                            <w:sz w:val="28"/>
                            <w:szCs w:val="28"/>
                          </w:rPr>
                          <w:t>　　七、对外捐赠的监督管理</w:t>
                        </w:r>
                        <w:r>
                          <w:rPr>
                            <w:rStyle w:val="4"/>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企业内部审计(监察)机构或者财务管理部门对企业对外捐赠行为应当进行检查，监督经办部门及其有关人员严格按照企业内部议事规范执行，制止随意对外捐赠行为。</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应当拒绝任何部门、机构、团体强行要求的各种捐赠，对于各种强行募捐应当根据《中共中央国务院关于治理向企业乱收费乱罚款和各种摊派等问题的决定》（中发[1997]14号）的规定，向各级经贸、计划（物价）、财政、监察、纠风、审计等有关部门举报。</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企业应当在财务会计报告中如实披露对外捐赠情况，注册会计师在审计企业财务会计报告时应当予以重点关注。</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企业国有资本持有单位有权对拥有控制权的企业对外捐赠事项进行检查监督。对于企业未执行规定程序擅自进行的捐赠，或者超出本通知关于公益、救济范围的捐赠，或者以权谋私、假公济私、转移企业资产等违法违纪的捐赠，企业国有资本持有单位应当追究负有直接责任的主管人员和其他直接责任人员的责任；涉嫌犯罪的，移交司法机关依法追究刑事责任。</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w:t>
                        </w:r>
                        <w:r>
                          <w:rPr>
                            <w:rStyle w:val="4"/>
                            <w:rFonts w:hint="eastAsia" w:ascii="微软雅黑" w:hAnsi="微软雅黑" w:eastAsia="微软雅黑" w:cs="微软雅黑"/>
                            <w:sz w:val="28"/>
                            <w:szCs w:val="28"/>
                          </w:rPr>
                          <w:t>　八、本通知从2003年5月1日起执行。</w:t>
                        </w:r>
                      </w:p>
                      <w:p>
                        <w:pPr>
                          <w:pStyle w:val="2"/>
                          <w:keepNext w:val="0"/>
                          <w:keepLines w:val="0"/>
                          <w:widowControl/>
                          <w:suppressLineNumbers w:val="0"/>
                          <w:spacing w:line="220" w:lineRule="atLeas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抄送：中央企业工委，财政部驻各省、自治区、直辖市、计划单列市财政监察专员办事处。</w:t>
                        </w:r>
                      </w:p>
                    </w:tc>
                  </w:tr>
                </w:tbl>
                <w:p>
                  <w:pPr>
                    <w:jc w:val="center"/>
                    <w:rPr>
                      <w:rFonts w:hint="eastAsia" w:ascii="微软雅黑" w:hAnsi="微软雅黑" w:eastAsia="微软雅黑" w:cs="微软雅黑"/>
                      <w:sz w:val="28"/>
                      <w:szCs w:val="28"/>
                    </w:rPr>
                  </w:pPr>
                </w:p>
              </w:tc>
            </w:tr>
          </w:tbl>
          <w:p>
            <w:pPr>
              <w:jc w:val="left"/>
              <w:rPr>
                <w:rFonts w:hint="eastAsia" w:ascii="微软雅黑" w:hAnsi="微软雅黑" w:eastAsia="微软雅黑" w:cs="微软雅黑"/>
                <w:i w:val="0"/>
                <w:caps w:val="0"/>
                <w:color w:val="000000"/>
                <w:spacing w:val="0"/>
                <w:sz w:val="28"/>
                <w:szCs w:val="28"/>
                <w:u w:val="none"/>
              </w:rPr>
            </w:pPr>
          </w:p>
        </w:tc>
      </w:tr>
    </w:tbl>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841BB"/>
    <w:rsid w:val="6D535020"/>
    <w:rsid w:val="77384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2018-10-08T10:49:00Z</dcterms:created>
  <dc:creator>刘亚超</dc:creator>
  <cp:lastModifiedBy>刘亚超</cp:lastModifiedBy>
  <dcterms:modified xsi:type="dcterms:W3CDTF">2018-10-08T10:49:59Z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