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6375" w:type="dxa"/>
        <w:jc w:val="center"/>
        <w:tblCellSpacing w:w="0" w:type="dxa"/>
        <w:tblInd w:w="966" w:type="dxa"/>
        <w:shd w:val="clear"/>
        <w:tblLayout w:type="fixed"/>
        <w:tblCellMar>
          <w:top w:w="0" w:type="dxa"/>
          <w:left w:w="0" w:type="dxa"/>
          <w:bottom w:w="0" w:type="dxa"/>
          <w:right w:w="0" w:type="dxa"/>
        </w:tblCellMar>
      </w:tblPr>
      <w:tblGrid>
        <w:gridCol w:w="6375"/>
      </w:tblGrid>
      <w:tr>
        <w:tblPrEx>
          <w:shd w:val="clear"/>
          <w:tblLayout w:type="fixed"/>
          <w:tblCellMar>
            <w:top w:w="0" w:type="dxa"/>
            <w:left w:w="0" w:type="dxa"/>
            <w:bottom w:w="0" w:type="dxa"/>
            <w:right w:w="0" w:type="dxa"/>
          </w:tblCellMar>
        </w:tblPrEx>
        <w:trPr>
          <w:trHeight w:val="450" w:hRule="atLeast"/>
          <w:tblCellSpacing w:w="0" w:type="dxa"/>
          <w:jc w:val="center"/>
        </w:trPr>
        <w:tc>
          <w:tcPr>
            <w:tcW w:w="6375" w:type="dxa"/>
            <w:shd w:val="clear"/>
            <w:vAlign w:val="center"/>
          </w:tcPr>
          <w:p>
            <w:pPr>
              <w:keepNext w:val="0"/>
              <w:keepLines w:val="0"/>
              <w:widowControl/>
              <w:suppressLineNumbers w:val="0"/>
              <w:spacing w:before="0" w:beforeAutospacing="0" w:after="0" w:afterAutospacing="0" w:line="195" w:lineRule="atLeast"/>
              <w:ind w:left="0" w:right="0" w:firstLine="0"/>
              <w:jc w:val="center"/>
              <w:rPr>
                <w:rFonts w:ascii="&amp;quot" w:hAnsi="&amp;quot" w:eastAsia="&amp;quot" w:cs="&amp;quot"/>
                <w:i w:val="0"/>
                <w:caps w:val="0"/>
                <w:color w:val="666666"/>
                <w:spacing w:val="0"/>
                <w:sz w:val="28"/>
                <w:szCs w:val="28"/>
                <w:u w:val="none"/>
              </w:rPr>
            </w:pPr>
            <w:r>
              <w:rPr>
                <w:rFonts w:hint="default" w:ascii="&amp;quot" w:hAnsi="&amp;quot" w:eastAsia="&amp;quot" w:cs="&amp;quot"/>
                <w:b/>
                <w:i w:val="0"/>
                <w:caps w:val="0"/>
                <w:color w:val="666666"/>
                <w:spacing w:val="0"/>
                <w:kern w:val="0"/>
                <w:sz w:val="28"/>
                <w:szCs w:val="28"/>
                <w:u w:val="none"/>
                <w:bdr w:val="none" w:color="auto" w:sz="0" w:space="0"/>
                <w:lang w:val="en-US" w:eastAsia="zh-CN" w:bidi="ar"/>
              </w:rPr>
              <w:t>民政部关于印发《</w:t>
            </w:r>
            <w:bookmarkStart w:id="0" w:name="_GoBack"/>
            <w:r>
              <w:rPr>
                <w:rFonts w:hint="default" w:ascii="&amp;quot" w:hAnsi="&amp;quot" w:eastAsia="&amp;quot" w:cs="&amp;quot"/>
                <w:b/>
                <w:i w:val="0"/>
                <w:caps w:val="0"/>
                <w:color w:val="666666"/>
                <w:spacing w:val="0"/>
                <w:kern w:val="0"/>
                <w:sz w:val="28"/>
                <w:szCs w:val="28"/>
                <w:u w:val="none"/>
                <w:bdr w:val="none" w:color="auto" w:sz="0" w:space="0"/>
                <w:lang w:val="en-US" w:eastAsia="zh-CN" w:bidi="ar"/>
              </w:rPr>
              <w:t>社会组织抽查暂行办法</w:t>
            </w:r>
            <w:bookmarkEnd w:id="0"/>
            <w:r>
              <w:rPr>
                <w:rFonts w:hint="default" w:ascii="&amp;quot" w:hAnsi="&amp;quot" w:eastAsia="&amp;quot" w:cs="&amp;quot"/>
                <w:b/>
                <w:i w:val="0"/>
                <w:caps w:val="0"/>
                <w:color w:val="666666"/>
                <w:spacing w:val="0"/>
                <w:kern w:val="0"/>
                <w:sz w:val="28"/>
                <w:szCs w:val="28"/>
                <w:u w:val="none"/>
                <w:bdr w:val="none" w:color="auto" w:sz="0" w:space="0"/>
                <w:lang w:val="en-US" w:eastAsia="zh-CN" w:bidi="ar"/>
              </w:rPr>
              <w:t>》的通知（民发〔2017〕45号）</w:t>
            </w:r>
          </w:p>
        </w:tc>
      </w:tr>
    </w:tbl>
    <w:p>
      <w:pPr>
        <w:rPr>
          <w:vanish/>
          <w:sz w:val="28"/>
          <w:szCs w:val="28"/>
        </w:rPr>
      </w:pPr>
    </w:p>
    <w:tbl>
      <w:tblPr>
        <w:tblW w:w="6375" w:type="dxa"/>
        <w:jc w:val="center"/>
        <w:tblCellSpacing w:w="0" w:type="dxa"/>
        <w:tblInd w:w="966" w:type="dxa"/>
        <w:shd w:val="clear"/>
        <w:tblLayout w:type="fixed"/>
        <w:tblCellMar>
          <w:top w:w="0" w:type="dxa"/>
          <w:left w:w="0" w:type="dxa"/>
          <w:bottom w:w="0" w:type="dxa"/>
          <w:right w:w="0" w:type="dxa"/>
        </w:tblCellMar>
      </w:tblPr>
      <w:tblGrid>
        <w:gridCol w:w="6375"/>
      </w:tblGrid>
      <w:tr>
        <w:tblPrEx>
          <w:tblLayout w:type="fixed"/>
          <w:tblCellMar>
            <w:top w:w="0" w:type="dxa"/>
            <w:left w:w="0" w:type="dxa"/>
            <w:bottom w:w="0" w:type="dxa"/>
            <w:right w:w="0" w:type="dxa"/>
          </w:tblCellMar>
        </w:tblPrEx>
        <w:trPr>
          <w:trHeight w:val="8" w:hRule="atLeast"/>
          <w:tblCellSpacing w:w="0" w:type="dxa"/>
          <w:jc w:val="center"/>
        </w:trPr>
        <w:tc>
          <w:tcPr>
            <w:tcW w:w="6375" w:type="dxa"/>
            <w:shd w:val="clear"/>
            <w:vAlign w:val="center"/>
          </w:tcPr>
          <w:p>
            <w:pPr>
              <w:jc w:val="left"/>
              <w:rPr>
                <w:rFonts w:hint="default" w:ascii="&amp;quot" w:hAnsi="&amp;quot" w:eastAsia="&amp;quot" w:cs="&amp;quot"/>
                <w:i w:val="0"/>
                <w:caps w:val="0"/>
                <w:color w:val="666666"/>
                <w:spacing w:val="0"/>
                <w:sz w:val="28"/>
                <w:szCs w:val="28"/>
                <w:u w:val="none"/>
              </w:rPr>
            </w:pPr>
          </w:p>
        </w:tc>
      </w:tr>
    </w:tbl>
    <w:p>
      <w:pPr>
        <w:rPr>
          <w:vanish/>
          <w:sz w:val="28"/>
          <w:szCs w:val="28"/>
        </w:rPr>
      </w:pPr>
    </w:p>
    <w:p>
      <w:pPr>
        <w:rPr>
          <w:vanish/>
          <w:sz w:val="28"/>
          <w:szCs w:val="28"/>
        </w:rPr>
      </w:pPr>
    </w:p>
    <w:tbl>
      <w:tblPr>
        <w:tblW w:w="9506" w:type="dxa"/>
        <w:jc w:val="center"/>
        <w:tblCellSpacing w:w="0" w:type="dxa"/>
        <w:tblInd w:w="-2135" w:type="dxa"/>
        <w:shd w:val="clear"/>
        <w:tblLayout w:type="fixed"/>
        <w:tblCellMar>
          <w:top w:w="0" w:type="dxa"/>
          <w:left w:w="0" w:type="dxa"/>
          <w:bottom w:w="0" w:type="dxa"/>
          <w:right w:w="0" w:type="dxa"/>
        </w:tblCellMar>
      </w:tblPr>
      <w:tblGrid>
        <w:gridCol w:w="9506"/>
      </w:tblGrid>
      <w:tr>
        <w:tblPrEx>
          <w:tblLayout w:type="fixed"/>
          <w:tblCellMar>
            <w:top w:w="0" w:type="dxa"/>
            <w:left w:w="0" w:type="dxa"/>
            <w:bottom w:w="0" w:type="dxa"/>
            <w:right w:w="0" w:type="dxa"/>
          </w:tblCellMar>
        </w:tblPrEx>
        <w:trPr>
          <w:tblCellSpacing w:w="0" w:type="dxa"/>
          <w:jc w:val="center"/>
        </w:trPr>
        <w:tc>
          <w:tcPr>
            <w:tcW w:w="9506" w:type="dxa"/>
            <w:shd w:val="clear"/>
            <w:vAlign w:val="top"/>
          </w:tcPr>
          <w:p>
            <w:pPr>
              <w:keepNext w:val="0"/>
              <w:keepLines w:val="0"/>
              <w:widowControl/>
              <w:suppressLineNumbers w:val="0"/>
              <w:spacing w:before="0" w:beforeAutospacing="0" w:after="0" w:afterAutospacing="0" w:line="180" w:lineRule="atLeast"/>
              <w:ind w:left="0" w:right="0" w:firstLine="0"/>
              <w:jc w:val="left"/>
              <w:rPr>
                <w:rFonts w:hint="default" w:ascii="&amp;quot" w:hAnsi="&amp;quot" w:eastAsia="&amp;quot" w:cs="&amp;quot"/>
                <w:i w:val="0"/>
                <w:caps w:val="0"/>
                <w:color w:val="666666"/>
                <w:spacing w:val="0"/>
                <w:sz w:val="28"/>
                <w:szCs w:val="28"/>
                <w:u w:val="none"/>
              </w:rPr>
            </w:pPr>
            <w:r>
              <w:rPr>
                <w:rFonts w:hint="default" w:ascii="&amp;quot" w:hAnsi="&amp;quot" w:eastAsia="&amp;quot" w:cs="&amp;quot"/>
                <w:i w:val="0"/>
                <w:caps w:val="0"/>
                <w:color w:val="666666"/>
                <w:spacing w:val="0"/>
                <w:kern w:val="0"/>
                <w:sz w:val="28"/>
                <w:szCs w:val="28"/>
                <w:u w:val="none"/>
                <w:bdr w:val="none" w:color="auto" w:sz="0" w:space="0"/>
                <w:lang w:val="en-US" w:eastAsia="zh-CN" w:bidi="ar"/>
              </w:rPr>
              <w:t>各省、自治区、直辖市民政厅（局），各计划单列市民政局，新疆生产建设兵团民政局：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Fonts w:hint="default" w:ascii="&amp;quot" w:hAnsi="&amp;quot" w:eastAsia="&amp;quot" w:cs="&amp;quot"/>
                <w:i w:val="0"/>
                <w:caps w:val="0"/>
                <w:color w:val="666666"/>
                <w:spacing w:val="0"/>
                <w:sz w:val="28"/>
                <w:szCs w:val="28"/>
                <w:u w:val="none"/>
                <w:bdr w:val="none" w:color="auto" w:sz="0" w:space="0"/>
              </w:rPr>
              <w:t>《社会组织抽查暂行办法》已经部长办公会议审议通过，现印发给你们，请结合实际贯彻执行。对于实施中的意见和建议，请及时报告我部。</w:t>
            </w:r>
          </w:p>
          <w:p>
            <w:pPr>
              <w:keepNext w:val="0"/>
              <w:keepLines w:val="0"/>
              <w:widowControl/>
              <w:suppressLineNumbers w:val="0"/>
              <w:jc w:val="left"/>
              <w:rPr>
                <w:sz w:val="28"/>
                <w:szCs w:val="28"/>
              </w:rPr>
            </w:pPr>
            <w:r>
              <w:rPr>
                <w:rFonts w:hint="default" w:ascii="&amp;quot" w:hAnsi="&amp;quot" w:eastAsia="&amp;quot" w:cs="&amp;quot"/>
                <w:i w:val="0"/>
                <w:caps w:val="0"/>
                <w:color w:val="666666"/>
                <w:spacing w:val="0"/>
                <w:kern w:val="0"/>
                <w:sz w:val="28"/>
                <w:szCs w:val="28"/>
                <w:u w:val="none"/>
                <w:bdr w:val="none" w:color="auto" w:sz="0" w:space="0"/>
                <w:lang w:val="en-US" w:eastAsia="zh-CN" w:bidi="ar"/>
              </w:rPr>
              <w:t> </w:t>
            </w:r>
            <w:r>
              <w:rPr>
                <w:rFonts w:hint="default" w:ascii="&amp;quot" w:hAnsi="&amp;quot" w:eastAsia="&amp;quot" w:cs="&amp;quot"/>
                <w:i w:val="0"/>
                <w:caps w:val="0"/>
                <w:color w:val="666666"/>
                <w:spacing w:val="0"/>
                <w:kern w:val="0"/>
                <w:sz w:val="28"/>
                <w:szCs w:val="28"/>
                <w:u w:val="none"/>
                <w:bdr w:val="none" w:color="auto" w:sz="0" w:space="0"/>
                <w:lang w:val="en-US" w:eastAsia="zh-CN" w:bidi="ar"/>
              </w:rPr>
              <w:br w:type="textWrapping"/>
            </w:r>
            <w:r>
              <w:rPr>
                <w:rFonts w:hint="default" w:ascii="&amp;quot" w:hAnsi="&amp;quot" w:eastAsia="&amp;quot" w:cs="&amp;quot"/>
                <w:i w:val="0"/>
                <w:caps w:val="0"/>
                <w:color w:val="666666"/>
                <w:spacing w:val="0"/>
                <w:kern w:val="0"/>
                <w:sz w:val="28"/>
                <w:szCs w:val="28"/>
                <w:u w:val="none"/>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center"/>
              <w:rPr>
                <w:rFonts w:hint="default" w:ascii="&amp;quot" w:hAnsi="&amp;quot" w:eastAsia="&amp;quot" w:cs="&amp;quot"/>
                <w:color w:val="666666"/>
                <w:sz w:val="28"/>
                <w:szCs w:val="28"/>
              </w:rPr>
            </w:pPr>
            <w:r>
              <w:rPr>
                <w:rFonts w:hint="default" w:ascii="&amp;quot" w:hAnsi="&amp;quot" w:eastAsia="&amp;quot" w:cs="&amp;quot"/>
                <w:i w:val="0"/>
                <w:caps w:val="0"/>
                <w:color w:val="666666"/>
                <w:spacing w:val="0"/>
                <w:sz w:val="28"/>
                <w:szCs w:val="28"/>
                <w:u w:val="none"/>
                <w:bdr w:val="none" w:color="auto" w:sz="0" w:space="0"/>
              </w:rPr>
              <w:t>                                                      民政部</w:t>
            </w:r>
            <w:r>
              <w:rPr>
                <w:rFonts w:hint="default" w:ascii="&amp;quot" w:hAnsi="&amp;quot" w:eastAsia="&amp;quot" w:cs="&amp;quot"/>
                <w:i w:val="0"/>
                <w:caps w:val="0"/>
                <w:color w:val="666666"/>
                <w:spacing w:val="0"/>
                <w:sz w:val="28"/>
                <w:szCs w:val="28"/>
                <w:u w:val="none"/>
                <w:bdr w:val="none" w:color="auto" w:sz="0" w:space="0"/>
              </w:rPr>
              <w:br w:type="textWrapping"/>
            </w:r>
            <w:r>
              <w:rPr>
                <w:rFonts w:hint="default" w:ascii="&amp;quot" w:hAnsi="&amp;quot" w:eastAsia="&amp;quot" w:cs="&amp;quot"/>
                <w:i w:val="0"/>
                <w:caps w:val="0"/>
                <w:color w:val="666666"/>
                <w:spacing w:val="0"/>
                <w:sz w:val="28"/>
                <w:szCs w:val="28"/>
                <w:u w:val="none"/>
                <w:bdr w:val="none" w:color="auto" w:sz="0" w:space="0"/>
              </w:rPr>
              <w:t>                                                   2017年3月13日</w:t>
            </w:r>
          </w:p>
          <w:p>
            <w:pPr>
              <w:keepNext w:val="0"/>
              <w:keepLines w:val="0"/>
              <w:widowControl/>
              <w:suppressLineNumbers w:val="0"/>
              <w:spacing w:after="240" w:afterAutospacing="0"/>
              <w:jc w:val="left"/>
              <w:rPr>
                <w:sz w:val="28"/>
                <w:szCs w:val="28"/>
              </w:rPr>
            </w:pPr>
            <w:r>
              <w:rPr>
                <w:rFonts w:hint="default" w:ascii="&amp;quot" w:hAnsi="&amp;quot" w:eastAsia="&amp;quot" w:cs="&amp;quot"/>
                <w:i w:val="0"/>
                <w:caps w:val="0"/>
                <w:color w:val="666666"/>
                <w:spacing w:val="0"/>
                <w:kern w:val="0"/>
                <w:sz w:val="28"/>
                <w:szCs w:val="28"/>
                <w:u w:val="none"/>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0" w:lineRule="atLeast"/>
              <w:ind w:left="0" w:right="0"/>
              <w:jc w:val="center"/>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社会组织抽查暂行办法</w:t>
            </w:r>
            <w:r>
              <w:rPr>
                <w:rFonts w:hint="default" w:ascii="&amp;quot" w:hAnsi="&amp;quot" w:eastAsia="&amp;quot" w:cs="&amp;quot"/>
                <w:i w:val="0"/>
                <w:caps w:val="0"/>
                <w:color w:val="666666"/>
                <w:spacing w:val="0"/>
                <w:sz w:val="28"/>
                <w:szCs w:val="28"/>
                <w:u w:val="none"/>
                <w:bdr w:val="none" w:color="auto" w:sz="0" w:space="0"/>
              </w:rPr>
              <w:br w:type="textWrapping"/>
            </w:r>
            <w:r>
              <w:rPr>
                <w:rFonts w:hint="default" w:ascii="&amp;quot" w:hAnsi="&amp;quot" w:eastAsia="&amp;quot" w:cs="&amp;quot"/>
                <w:i w:val="0"/>
                <w:caps w:val="0"/>
                <w:color w:val="666666"/>
                <w:spacing w:val="0"/>
                <w:sz w:val="28"/>
                <w:szCs w:val="28"/>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第一条</w:t>
            </w:r>
            <w:r>
              <w:rPr>
                <w:rFonts w:hint="default" w:ascii="&amp;quot" w:hAnsi="&amp;quot" w:eastAsia="&amp;quot" w:cs="&amp;quot"/>
                <w:i w:val="0"/>
                <w:caps w:val="0"/>
                <w:color w:val="666666"/>
                <w:spacing w:val="0"/>
                <w:sz w:val="28"/>
                <w:szCs w:val="28"/>
                <w:u w:val="none"/>
                <w:bdr w:val="none" w:color="auto" w:sz="0" w:space="0"/>
              </w:rPr>
              <w:t xml:space="preserve"> 为规范社会组织管理，改进行政管理方式，提高行政管理效能，促进社会组织健康有序发展，根据有关法律法规和国家有关规定，制定本办法。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第二条</w:t>
            </w:r>
            <w:r>
              <w:rPr>
                <w:rFonts w:hint="default" w:ascii="&amp;quot" w:hAnsi="&amp;quot" w:eastAsia="&amp;quot" w:cs="&amp;quot"/>
                <w:i w:val="0"/>
                <w:caps w:val="0"/>
                <w:color w:val="666666"/>
                <w:spacing w:val="0"/>
                <w:sz w:val="28"/>
                <w:szCs w:val="28"/>
                <w:u w:val="none"/>
                <w:bdr w:val="none" w:color="auto" w:sz="0" w:space="0"/>
              </w:rPr>
              <w:t xml:space="preserve"> 社会组织登记管理机关（以下简称登记管理机关）按照法定职责，随机抽取一定比例的社会组织，对其依法开展活动的情况进行检查，适用本办法。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第三条</w:t>
            </w:r>
            <w:r>
              <w:rPr>
                <w:rFonts w:hint="default" w:ascii="&amp;quot" w:hAnsi="&amp;quot" w:eastAsia="&amp;quot" w:cs="&amp;quot"/>
                <w:i w:val="0"/>
                <w:caps w:val="0"/>
                <w:color w:val="666666"/>
                <w:spacing w:val="0"/>
                <w:sz w:val="28"/>
                <w:szCs w:val="28"/>
                <w:u w:val="none"/>
                <w:bdr w:val="none" w:color="auto" w:sz="0" w:space="0"/>
              </w:rPr>
              <w:t xml:space="preserve"> 开展抽查工作应当坚持依法、公正、公开、规范的原则。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第四条</w:t>
            </w:r>
            <w:r>
              <w:rPr>
                <w:rFonts w:hint="default" w:ascii="&amp;quot" w:hAnsi="&amp;quot" w:eastAsia="&amp;quot" w:cs="&amp;quot"/>
                <w:i w:val="0"/>
                <w:caps w:val="0"/>
                <w:color w:val="666666"/>
                <w:spacing w:val="0"/>
                <w:sz w:val="28"/>
                <w:szCs w:val="28"/>
                <w:u w:val="none"/>
                <w:bdr w:val="none" w:color="auto" w:sz="0" w:space="0"/>
              </w:rPr>
              <w:t xml:space="preserve"> 民政部负责指导全国社会组织抽查工作。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Fonts w:hint="default" w:ascii="&amp;quot" w:hAnsi="&amp;quot" w:eastAsia="&amp;quot" w:cs="&amp;quot"/>
                <w:i w:val="0"/>
                <w:caps w:val="0"/>
                <w:color w:val="666666"/>
                <w:spacing w:val="0"/>
                <w:sz w:val="28"/>
                <w:szCs w:val="28"/>
                <w:u w:val="none"/>
                <w:bdr w:val="none" w:color="auto" w:sz="0" w:space="0"/>
              </w:rPr>
              <w:t>各级登记管理机关负责开展对本级登记的社会组织抽查工作。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Fonts w:hint="default" w:ascii="&amp;quot" w:hAnsi="&amp;quot" w:eastAsia="&amp;quot" w:cs="&amp;quot"/>
                <w:i w:val="0"/>
                <w:caps w:val="0"/>
                <w:color w:val="666666"/>
                <w:spacing w:val="0"/>
                <w:sz w:val="28"/>
                <w:szCs w:val="28"/>
                <w:u w:val="none"/>
                <w:bdr w:val="none" w:color="auto" w:sz="0" w:space="0"/>
              </w:rPr>
              <w:t>登记管理机关与其管辖的社会组织的住所不在一地的，可以委托社会组织住所地的登记管理机关负责委托范围内的抽查工作。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第五条</w:t>
            </w:r>
            <w:r>
              <w:rPr>
                <w:rFonts w:hint="default" w:ascii="&amp;quot" w:hAnsi="&amp;quot" w:eastAsia="&amp;quot" w:cs="&amp;quot"/>
                <w:i w:val="0"/>
                <w:caps w:val="0"/>
                <w:color w:val="666666"/>
                <w:spacing w:val="0"/>
                <w:sz w:val="28"/>
                <w:szCs w:val="28"/>
                <w:u w:val="none"/>
                <w:bdr w:val="none" w:color="auto" w:sz="0" w:space="0"/>
              </w:rPr>
              <w:t xml:space="preserve"> 抽查分为定期抽查和不定期抽查两种方式。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Fonts w:hint="default" w:ascii="&amp;quot" w:hAnsi="&amp;quot" w:eastAsia="&amp;quot" w:cs="&amp;quot"/>
                <w:i w:val="0"/>
                <w:caps w:val="0"/>
                <w:color w:val="666666"/>
                <w:spacing w:val="0"/>
                <w:sz w:val="28"/>
                <w:szCs w:val="28"/>
                <w:u w:val="none"/>
                <w:bdr w:val="none" w:color="auto" w:sz="0" w:space="0"/>
              </w:rPr>
              <w:t>定期抽查是指登记管理机关按年度随机抽取本级登记的社会组织开展检查。县级、市级、省级登记管理机关对本级登记的社会组织的抽查比例分别不低于3%、4%和5%，民政部对本级登记的社会组织的抽查比例不低于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Fonts w:hint="default" w:ascii="&amp;quot" w:hAnsi="&amp;quot" w:eastAsia="&amp;quot" w:cs="&amp;quot"/>
                <w:i w:val="0"/>
                <w:caps w:val="0"/>
                <w:color w:val="666666"/>
                <w:spacing w:val="0"/>
                <w:sz w:val="28"/>
                <w:szCs w:val="28"/>
                <w:u w:val="none"/>
                <w:bdr w:val="none" w:color="auto" w:sz="0" w:space="0"/>
              </w:rPr>
              <w:t>不定期抽查是指登记管理机关根据社会组织类别、所属行业、检查事项等条件，不定期随机抽取本级登记的社会组织开展检查。抽查比例根据工作需要合理确定。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第六条</w:t>
            </w:r>
            <w:r>
              <w:rPr>
                <w:rFonts w:hint="default" w:ascii="&amp;quot" w:hAnsi="&amp;quot" w:eastAsia="&amp;quot" w:cs="&amp;quot"/>
                <w:i w:val="0"/>
                <w:caps w:val="0"/>
                <w:color w:val="666666"/>
                <w:spacing w:val="0"/>
                <w:sz w:val="28"/>
                <w:szCs w:val="28"/>
                <w:u w:val="none"/>
                <w:bdr w:val="none" w:color="auto" w:sz="0" w:space="0"/>
              </w:rPr>
              <w:t xml:space="preserve"> 登记管理机关开展定期抽查，检查内容主要包括社会组织的年度报告、信息公开、内部治理、财务状况、业务活动等情况。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Fonts w:hint="default" w:ascii="&amp;quot" w:hAnsi="&amp;quot" w:eastAsia="&amp;quot" w:cs="&amp;quot"/>
                <w:i w:val="0"/>
                <w:caps w:val="0"/>
                <w:color w:val="666666"/>
                <w:spacing w:val="0"/>
                <w:sz w:val="28"/>
                <w:szCs w:val="28"/>
                <w:u w:val="none"/>
                <w:bdr w:val="none" w:color="auto" w:sz="0" w:space="0"/>
              </w:rPr>
              <w:t>不定期抽查可以在前款规定的检查内容中选择若干项开展检查，也可以结合实际情况，合理确定其他检查内容。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第七条</w:t>
            </w:r>
            <w:r>
              <w:rPr>
                <w:rFonts w:hint="default" w:ascii="&amp;quot" w:hAnsi="&amp;quot" w:eastAsia="&amp;quot" w:cs="&amp;quot"/>
                <w:i w:val="0"/>
                <w:caps w:val="0"/>
                <w:color w:val="666666"/>
                <w:spacing w:val="0"/>
                <w:sz w:val="28"/>
                <w:szCs w:val="28"/>
                <w:u w:val="none"/>
                <w:bdr w:val="none" w:color="auto" w:sz="0" w:space="0"/>
              </w:rPr>
              <w:t xml:space="preserve"> 登记管理机关根据工作需要，可以联合业务主管单位、行业管理部门或者相关职能部门依法开展抽查工作。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Fonts w:hint="default" w:ascii="&amp;quot" w:hAnsi="&amp;quot" w:eastAsia="&amp;quot" w:cs="&amp;quot"/>
                <w:i w:val="0"/>
                <w:caps w:val="0"/>
                <w:color w:val="666666"/>
                <w:spacing w:val="0"/>
                <w:sz w:val="28"/>
                <w:szCs w:val="28"/>
                <w:u w:val="none"/>
                <w:bdr w:val="none" w:color="auto" w:sz="0" w:space="0"/>
              </w:rPr>
              <w:t>登记管理机关可以依法使用其他部门作出的检查结果。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第八条</w:t>
            </w:r>
            <w:r>
              <w:rPr>
                <w:rFonts w:hint="default" w:ascii="&amp;quot" w:hAnsi="&amp;quot" w:eastAsia="&amp;quot" w:cs="&amp;quot"/>
                <w:i w:val="0"/>
                <w:caps w:val="0"/>
                <w:color w:val="666666"/>
                <w:spacing w:val="0"/>
                <w:sz w:val="28"/>
                <w:szCs w:val="28"/>
                <w:u w:val="none"/>
                <w:bdr w:val="none" w:color="auto" w:sz="0" w:space="0"/>
              </w:rPr>
              <w:t xml:space="preserve"> 在抽查工作中，登记管理机关可以委托会计师事务所、税务师事务所、律师事务所等专业机构开展审计、咨询等相关工作。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第九条</w:t>
            </w:r>
            <w:r>
              <w:rPr>
                <w:rFonts w:hint="default" w:ascii="&amp;quot" w:hAnsi="&amp;quot" w:eastAsia="&amp;quot" w:cs="&amp;quot"/>
                <w:i w:val="0"/>
                <w:caps w:val="0"/>
                <w:color w:val="666666"/>
                <w:spacing w:val="0"/>
                <w:sz w:val="28"/>
                <w:szCs w:val="28"/>
                <w:u w:val="none"/>
                <w:bdr w:val="none" w:color="auto" w:sz="0" w:space="0"/>
              </w:rPr>
              <w:t xml:space="preserve"> 登记管理机关可以采取书面检查、现场检查等方式开展抽查工作。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Fonts w:hint="default" w:ascii="&amp;quot" w:hAnsi="&amp;quot" w:eastAsia="&amp;quot" w:cs="&amp;quot"/>
                <w:i w:val="0"/>
                <w:caps w:val="0"/>
                <w:color w:val="666666"/>
                <w:spacing w:val="0"/>
                <w:sz w:val="28"/>
                <w:szCs w:val="28"/>
                <w:u w:val="none"/>
                <w:bdr w:val="none" w:color="auto" w:sz="0" w:space="0"/>
              </w:rPr>
              <w:t>登记管理机关对社会组织开展检查时，应当将检查的内容和要求通知被检查社会组织。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第十条</w:t>
            </w:r>
            <w:r>
              <w:rPr>
                <w:rFonts w:hint="default" w:ascii="&amp;quot" w:hAnsi="&amp;quot" w:eastAsia="&amp;quot" w:cs="&amp;quot"/>
                <w:i w:val="0"/>
                <w:caps w:val="0"/>
                <w:color w:val="666666"/>
                <w:spacing w:val="0"/>
                <w:sz w:val="28"/>
                <w:szCs w:val="28"/>
                <w:u w:val="none"/>
                <w:bdr w:val="none" w:color="auto" w:sz="0" w:space="0"/>
              </w:rPr>
              <w:t xml:space="preserve"> 登记管理机关对社会组织开展现场检查时，检查人员不得少于两人，并应当出示相关工作证件和检查通知书。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Fonts w:hint="default" w:ascii="&amp;quot" w:hAnsi="&amp;quot" w:eastAsia="&amp;quot" w:cs="&amp;quot"/>
                <w:i w:val="0"/>
                <w:caps w:val="0"/>
                <w:color w:val="666666"/>
                <w:spacing w:val="0"/>
                <w:sz w:val="28"/>
                <w:szCs w:val="28"/>
                <w:u w:val="none"/>
                <w:bdr w:val="none" w:color="auto" w:sz="0" w:space="0"/>
              </w:rPr>
              <w:t>检查人员与被检查社会组织有利害关系的，应当回避。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第十一条</w:t>
            </w:r>
            <w:r>
              <w:rPr>
                <w:rFonts w:hint="default" w:ascii="&amp;quot" w:hAnsi="&amp;quot" w:eastAsia="&amp;quot" w:cs="&amp;quot"/>
                <w:i w:val="0"/>
                <w:caps w:val="0"/>
                <w:color w:val="666666"/>
                <w:spacing w:val="0"/>
                <w:sz w:val="28"/>
                <w:szCs w:val="28"/>
                <w:u w:val="none"/>
                <w:bdr w:val="none" w:color="auto" w:sz="0" w:space="0"/>
              </w:rPr>
              <w:t xml:space="preserve"> 会计师事务所、税务师事务所、律师事务所等专业机构受委托现场开展相关工作时，工作人员不得少于两人，应当出示相关工作证件、检查通知书及委托证明。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第十二条</w:t>
            </w:r>
            <w:r>
              <w:rPr>
                <w:rFonts w:hint="default" w:ascii="&amp;quot" w:hAnsi="&amp;quot" w:eastAsia="&amp;quot" w:cs="&amp;quot"/>
                <w:i w:val="0"/>
                <w:caps w:val="0"/>
                <w:color w:val="666666"/>
                <w:spacing w:val="0"/>
                <w:sz w:val="28"/>
                <w:szCs w:val="28"/>
                <w:u w:val="none"/>
                <w:bdr w:val="none" w:color="auto" w:sz="0" w:space="0"/>
              </w:rPr>
              <w:t xml:space="preserve"> 现场检查应当制作检查笔录，如实记录检查情况，由检查人员和被检查社会组织的法定代表人（负责人）或者在场工作人员签字或者盖章；无法取得签字或者盖章的，检查人员应当注明原因。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第十三条</w:t>
            </w:r>
            <w:r>
              <w:rPr>
                <w:rFonts w:hint="default" w:ascii="&amp;quot" w:hAnsi="&amp;quot" w:eastAsia="&amp;quot" w:cs="&amp;quot"/>
                <w:i w:val="0"/>
                <w:caps w:val="0"/>
                <w:color w:val="666666"/>
                <w:spacing w:val="0"/>
                <w:sz w:val="28"/>
                <w:szCs w:val="28"/>
                <w:u w:val="none"/>
                <w:bdr w:val="none" w:color="auto" w:sz="0" w:space="0"/>
              </w:rPr>
              <w:t xml:space="preserve"> 登记管理机关应当将抽查发现的问题告知被检查社会组织，并依法向社会公开。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第十四条</w:t>
            </w:r>
            <w:r>
              <w:rPr>
                <w:rFonts w:hint="default" w:ascii="&amp;quot" w:hAnsi="&amp;quot" w:eastAsia="&amp;quot" w:cs="&amp;quot"/>
                <w:i w:val="0"/>
                <w:caps w:val="0"/>
                <w:color w:val="666666"/>
                <w:spacing w:val="0"/>
                <w:sz w:val="28"/>
                <w:szCs w:val="28"/>
                <w:u w:val="none"/>
                <w:bdr w:val="none" w:color="auto" w:sz="0" w:space="0"/>
              </w:rPr>
              <w:t xml:space="preserve"> 抽查发现社会组织存在违法违规行为的，由登记管理机关依法处理；应当由其他部门处理的，依法移交相关部门。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第十五条</w:t>
            </w:r>
            <w:r>
              <w:rPr>
                <w:rFonts w:hint="default" w:ascii="&amp;quot" w:hAnsi="&amp;quot" w:eastAsia="&amp;quot" w:cs="&amp;quot"/>
                <w:i w:val="0"/>
                <w:caps w:val="0"/>
                <w:color w:val="666666"/>
                <w:spacing w:val="0"/>
                <w:sz w:val="28"/>
                <w:szCs w:val="28"/>
                <w:u w:val="none"/>
                <w:bdr w:val="none" w:color="auto" w:sz="0" w:space="0"/>
              </w:rPr>
              <w:t xml:space="preserve"> 社会组织应当配合检查工作，接受询问，如实反映情况，并根据检查需要，提供相关材料，不得以任何形式阻碍或者拒绝检查。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Fonts w:hint="default" w:ascii="&amp;quot" w:hAnsi="&amp;quot" w:eastAsia="&amp;quot" w:cs="&amp;quot"/>
                <w:i w:val="0"/>
                <w:caps w:val="0"/>
                <w:color w:val="666666"/>
                <w:spacing w:val="0"/>
                <w:sz w:val="28"/>
                <w:szCs w:val="28"/>
                <w:u w:val="none"/>
                <w:bdr w:val="none" w:color="auto" w:sz="0" w:space="0"/>
              </w:rPr>
              <w:t>社会组织不按规定配合检查的，登记管理机关应当依法处理。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第十六条</w:t>
            </w:r>
            <w:r>
              <w:rPr>
                <w:rFonts w:hint="default" w:ascii="&amp;quot" w:hAnsi="&amp;quot" w:eastAsia="&amp;quot" w:cs="&amp;quot"/>
                <w:i w:val="0"/>
                <w:caps w:val="0"/>
                <w:color w:val="666666"/>
                <w:spacing w:val="0"/>
                <w:sz w:val="28"/>
                <w:szCs w:val="28"/>
                <w:u w:val="none"/>
                <w:bdr w:val="none" w:color="auto" w:sz="0" w:space="0"/>
              </w:rPr>
              <w:t xml:space="preserve"> 抽查结果作为社会组织评估等工作的重要依据，也可以提供给相关政府部门作为政府购买服务、税收优惠、资格认定、评优评先等工作的参考因素。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第十七条</w:t>
            </w:r>
            <w:r>
              <w:rPr>
                <w:rFonts w:hint="default" w:ascii="&amp;quot" w:hAnsi="&amp;quot" w:eastAsia="&amp;quot" w:cs="&amp;quot"/>
                <w:i w:val="0"/>
                <w:caps w:val="0"/>
                <w:color w:val="666666"/>
                <w:spacing w:val="0"/>
                <w:sz w:val="28"/>
                <w:szCs w:val="28"/>
                <w:u w:val="none"/>
                <w:bdr w:val="none" w:color="auto" w:sz="0" w:space="0"/>
              </w:rPr>
              <w:t xml:space="preserve"> 登记管理机关应当依法将抽查过程中收集、形成的有关资料及时归档保存。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第十八条</w:t>
            </w:r>
            <w:r>
              <w:rPr>
                <w:rFonts w:hint="default" w:ascii="&amp;quot" w:hAnsi="&amp;quot" w:eastAsia="&amp;quot" w:cs="&amp;quot"/>
                <w:i w:val="0"/>
                <w:caps w:val="0"/>
                <w:color w:val="666666"/>
                <w:spacing w:val="0"/>
                <w:sz w:val="28"/>
                <w:szCs w:val="28"/>
                <w:u w:val="none"/>
                <w:bdr w:val="none" w:color="auto" w:sz="0" w:space="0"/>
              </w:rPr>
              <w:t xml:space="preserve"> 抽查所需费用由登记管理机关按规定列支，不得向社会组织收取任何费用。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第十九条</w:t>
            </w:r>
            <w:r>
              <w:rPr>
                <w:rFonts w:hint="default" w:ascii="&amp;quot" w:hAnsi="&amp;quot" w:eastAsia="&amp;quot" w:cs="&amp;quot"/>
                <w:i w:val="0"/>
                <w:caps w:val="0"/>
                <w:color w:val="666666"/>
                <w:spacing w:val="0"/>
                <w:sz w:val="28"/>
                <w:szCs w:val="28"/>
                <w:u w:val="none"/>
                <w:bdr w:val="none" w:color="auto" w:sz="0" w:space="0"/>
              </w:rPr>
              <w:t xml:space="preserve"> 登记管理机关的工作人员在抽查工作中滥用职权、徇私舞弊、玩忽职守，构成犯罪的，依法追究刑事责任；尚不构成犯罪的，依法给予行政处分。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第二十条</w:t>
            </w:r>
            <w:r>
              <w:rPr>
                <w:rFonts w:hint="default" w:ascii="&amp;quot" w:hAnsi="&amp;quot" w:eastAsia="&amp;quot" w:cs="&amp;quot"/>
                <w:i w:val="0"/>
                <w:caps w:val="0"/>
                <w:color w:val="666666"/>
                <w:spacing w:val="0"/>
                <w:sz w:val="28"/>
                <w:szCs w:val="28"/>
                <w:u w:val="none"/>
                <w:bdr w:val="none" w:color="auto" w:sz="0" w:space="0"/>
              </w:rPr>
              <w:t xml:space="preserve"> 本办法由民政部负责解释。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 w:beforeAutospacing="0" w:after="8" w:afterAutospacing="0" w:line="180" w:lineRule="atLeast"/>
              <w:ind w:left="0" w:right="0" w:firstLine="240"/>
              <w:jc w:val="left"/>
              <w:rPr>
                <w:rFonts w:hint="default" w:ascii="&amp;quot" w:hAnsi="&amp;quot" w:eastAsia="&amp;quot" w:cs="&amp;quot"/>
                <w:color w:val="666666"/>
                <w:sz w:val="28"/>
                <w:szCs w:val="28"/>
              </w:rPr>
            </w:pPr>
            <w:r>
              <w:rPr>
                <w:rStyle w:val="4"/>
                <w:rFonts w:hint="default" w:ascii="&amp;quot" w:hAnsi="&amp;quot" w:eastAsia="&amp;quot" w:cs="&amp;quot"/>
                <w:i w:val="0"/>
                <w:caps w:val="0"/>
                <w:color w:val="666666"/>
                <w:spacing w:val="0"/>
                <w:sz w:val="28"/>
                <w:szCs w:val="28"/>
                <w:u w:val="none"/>
                <w:bdr w:val="none" w:color="auto" w:sz="0" w:space="0"/>
              </w:rPr>
              <w:t>第二十一条</w:t>
            </w:r>
            <w:r>
              <w:rPr>
                <w:rFonts w:hint="default" w:ascii="&amp;quot" w:hAnsi="&amp;quot" w:eastAsia="&amp;quot" w:cs="&amp;quot"/>
                <w:i w:val="0"/>
                <w:caps w:val="0"/>
                <w:color w:val="666666"/>
                <w:spacing w:val="0"/>
                <w:sz w:val="28"/>
                <w:szCs w:val="28"/>
                <w:u w:val="none"/>
                <w:bdr w:val="none" w:color="auto" w:sz="0" w:space="0"/>
              </w:rPr>
              <w:t xml:space="preserve"> 本办法自发布之日起施行。</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5139C"/>
    <w:rsid w:val="66B513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2018-10-08T07:15:00Z</dcterms:created>
  <dc:creator>刘亚超</dc:creator>
  <cp:lastModifiedBy>刘亚超</cp:lastModifiedBy>
  <dcterms:modified xsi:type="dcterms:W3CDTF">2018-10-08T07:15:43Z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