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42" w:type="dxa"/>
        <w:tblCellSpacing w:w="0" w:type="dxa"/>
        <w:tblInd w:w="0" w:type="dxa"/>
        <w:shd w:val="clear"/>
        <w:tblLayout w:type="fixed"/>
        <w:tblCellMar>
          <w:top w:w="0" w:type="dxa"/>
          <w:left w:w="0" w:type="dxa"/>
          <w:bottom w:w="0" w:type="dxa"/>
          <w:right w:w="0" w:type="dxa"/>
        </w:tblCellMar>
      </w:tblPr>
      <w:tblGrid>
        <w:gridCol w:w="8342"/>
      </w:tblGrid>
      <w:tr>
        <w:tblPrEx>
          <w:shd w:val="clear"/>
          <w:tblLayout w:type="fixed"/>
          <w:tblCellMar>
            <w:top w:w="0" w:type="dxa"/>
            <w:left w:w="0" w:type="dxa"/>
            <w:bottom w:w="0" w:type="dxa"/>
            <w:right w:w="0" w:type="dxa"/>
          </w:tblCellMar>
        </w:tblPrEx>
        <w:trPr>
          <w:trHeight w:val="450" w:hRule="atLeast"/>
          <w:tblCellSpacing w:w="0" w:type="dxa"/>
        </w:trPr>
        <w:tc>
          <w:tcPr>
            <w:tcW w:w="8342" w:type="dxa"/>
            <w:shd w:val="clear"/>
            <w:vAlign w:val="center"/>
          </w:tcPr>
          <w:p>
            <w:pPr>
              <w:keepNext w:val="0"/>
              <w:keepLines w:val="0"/>
              <w:widowControl/>
              <w:suppressLineNumbers w:val="0"/>
              <w:spacing w:line="195" w:lineRule="atLeast"/>
              <w:ind w:left="0" w:firstLine="0"/>
              <w:jc w:val="center"/>
              <w:rPr>
                <w:rFonts w:ascii="&amp;quot" w:hAnsi="&amp;quot" w:eastAsia="&amp;quot" w:cs="&amp;quot"/>
                <w:b/>
                <w:i w:val="0"/>
                <w:caps w:val="0"/>
                <w:color w:val="003CC8"/>
                <w:spacing w:val="0"/>
                <w:sz w:val="28"/>
                <w:szCs w:val="28"/>
                <w:u w:val="none"/>
              </w:rPr>
            </w:pPr>
            <w:bookmarkStart w:id="0" w:name="_GoBack"/>
            <w:r>
              <w:rPr>
                <w:rFonts w:hint="default" w:ascii="&amp;quot" w:hAnsi="&amp;quot" w:eastAsia="&amp;quot" w:cs="&amp;quot"/>
                <w:b/>
                <w:i w:val="0"/>
                <w:caps w:val="0"/>
                <w:color w:val="003CC8"/>
                <w:spacing w:val="0"/>
                <w:kern w:val="0"/>
                <w:sz w:val="28"/>
                <w:szCs w:val="28"/>
                <w:u w:val="none"/>
                <w:lang w:val="en-US" w:eastAsia="zh-CN" w:bidi="ar"/>
              </w:rPr>
              <w:t>民政部印发关于规范基金会行为的若干规定(试行)</w:t>
            </w:r>
            <w:bookmarkEnd w:id="0"/>
          </w:p>
        </w:tc>
      </w:tr>
    </w:tbl>
    <w:p>
      <w:pPr>
        <w:rPr>
          <w:vanish/>
          <w:sz w:val="28"/>
          <w:szCs w:val="28"/>
        </w:rPr>
      </w:pPr>
    </w:p>
    <w:tbl>
      <w:tblPr>
        <w:tblW w:w="8336" w:type="dxa"/>
        <w:tblCellSpacing w:w="0" w:type="dxa"/>
        <w:tblInd w:w="0" w:type="dxa"/>
        <w:shd w:val="clear"/>
        <w:tblLayout w:type="fixed"/>
        <w:tblCellMar>
          <w:top w:w="15" w:type="dxa"/>
          <w:left w:w="15" w:type="dxa"/>
          <w:bottom w:w="15" w:type="dxa"/>
          <w:right w:w="15" w:type="dxa"/>
        </w:tblCellMar>
      </w:tblPr>
      <w:tblGrid>
        <w:gridCol w:w="8336"/>
      </w:tblGrid>
      <w:tr>
        <w:tblPrEx>
          <w:tblLayout w:type="fixed"/>
          <w:tblCellMar>
            <w:top w:w="15" w:type="dxa"/>
            <w:left w:w="15" w:type="dxa"/>
            <w:bottom w:w="15" w:type="dxa"/>
            <w:right w:w="15" w:type="dxa"/>
          </w:tblCellMar>
        </w:tblPrEx>
        <w:trPr>
          <w:tblCellSpacing w:w="0" w:type="dxa"/>
        </w:trPr>
        <w:tc>
          <w:tcPr>
            <w:tcW w:w="8336" w:type="dxa"/>
            <w:shd w:val="clear"/>
            <w:vAlign w:val="top"/>
          </w:tcPr>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263" w:hRule="atLeast"/>
                <w:tblCellSpacing w:w="0" w:type="dxa"/>
                <w:jc w:val="center"/>
              </w:trPr>
              <w:tc>
                <w:tcPr>
                  <w:tcW w:w="8306" w:type="dxa"/>
                  <w:shd w:val="clear"/>
                  <w:vAlign w:val="center"/>
                </w:tcPr>
                <w:p>
                  <w:pPr>
                    <w:rPr>
                      <w:rFonts w:hint="eastAsia" w:ascii="宋体"/>
                      <w:sz w:val="28"/>
                      <w:szCs w:val="28"/>
                    </w:rPr>
                  </w:pPr>
                </w:p>
              </w:tc>
            </w:tr>
          </w:tbl>
          <w:p>
            <w:pPr>
              <w:rPr>
                <w:vanish/>
                <w:sz w:val="28"/>
                <w:szCs w:val="28"/>
              </w:rPr>
            </w:pPr>
          </w:p>
          <w:tbl>
            <w:tblPr>
              <w:tblW w:w="7890" w:type="dxa"/>
              <w:jc w:val="center"/>
              <w:tblCellSpacing w:w="0" w:type="dxa"/>
              <w:tblInd w:w="208" w:type="dxa"/>
              <w:shd w:val="clear"/>
              <w:tblLayout w:type="fixed"/>
              <w:tblCellMar>
                <w:top w:w="0" w:type="dxa"/>
                <w:left w:w="0" w:type="dxa"/>
                <w:bottom w:w="0" w:type="dxa"/>
                <w:right w:w="0" w:type="dxa"/>
              </w:tblCellMar>
            </w:tblPr>
            <w:tblGrid>
              <w:gridCol w:w="7890"/>
            </w:tblGrid>
            <w:tr>
              <w:tblPrEx>
                <w:shd w:val="clear"/>
                <w:tblLayout w:type="fixed"/>
                <w:tblCellMar>
                  <w:top w:w="0" w:type="dxa"/>
                  <w:left w:w="0" w:type="dxa"/>
                  <w:bottom w:w="0" w:type="dxa"/>
                  <w:right w:w="0" w:type="dxa"/>
                </w:tblCellMar>
              </w:tblPrEx>
              <w:trPr>
                <w:tblCellSpacing w:w="0" w:type="dxa"/>
                <w:jc w:val="center"/>
              </w:trPr>
              <w:tc>
                <w:tcPr>
                  <w:tcW w:w="7890" w:type="dxa"/>
                  <w:shd w:val="clear"/>
                  <w:vAlign w:val="center"/>
                </w:tcPr>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近日，民政部正式印发《关于规范基金会行为的若干规定（试行）》（以下简称《规定》），对于规范基金会接收和使用捐赠行为，基金会的交易、合作以及保值增值行为以及基金会的信息公开行为作了更为可操作性的指导。</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今年4月24日，《规定》（征求意见稿）曾公开征求意见。据了解，与之前的征求意见稿相比，《规定》进一步明确了项目人员的工资福利应计入“工作人员工资福利和行政办公支出”和“公益事业支出”的规定。考虑到征求意见稿中“基金会不得资助营利组织”的规定，可能会影响基金会对一些未在民政部门注册但仍然从事非营利活动的组织的资助，印发的《规定》将“基金会不得资助营利组织”改为“基金会不得资助以营利为目的开展的活动”。</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另外，与征求意见稿不同的是，《规定》还就基金会应当及时向社会公众公布的信息进行了明确，并提出基金会内部制度的公开不再区分公募基金会和非公募基金会，都应当予以公开。</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《规定》全文如下：</w:t>
                  </w:r>
                </w:p>
                <w:p>
                  <w:pPr>
                    <w:pStyle w:val="2"/>
                    <w:keepNext w:val="0"/>
                    <w:keepLines w:val="0"/>
                    <w:widowControl/>
                    <w:suppressLineNumbers w:val="0"/>
                    <w:spacing w:line="220" w:lineRule="atLeast"/>
                    <w:jc w:val="center"/>
                    <w:rPr>
                      <w:rFonts w:hint="default" w:ascii="&amp;quot" w:hAnsi="&amp;quot" w:eastAsia="&amp;quot" w:cs="&amp;quot"/>
                      <w:color w:val="000000"/>
                      <w:sz w:val="28"/>
                      <w:szCs w:val="28"/>
                      <w:u w:val="none"/>
                    </w:rPr>
                  </w:pPr>
                  <w:r>
                    <w:rPr>
                      <w:rStyle w:val="4"/>
                      <w:rFonts w:hint="default" w:ascii="&amp;quot" w:hAnsi="&amp;quot" w:eastAsia="&amp;quot" w:cs="&amp;quot"/>
                      <w:color w:val="A52A00"/>
                      <w:sz w:val="28"/>
                      <w:szCs w:val="28"/>
                      <w:u w:val="none"/>
                    </w:rPr>
                    <w:t>关于规范基金会行为的若干规定（试行）</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为确保基金会恪守公益宗旨，规范开展活动，扩大公开透明，维护捐赠人、受益人和基金会的合法权益，进一步促进基金会健康发展，现对基金会行为规范中的若干问题作出如下规定：</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一、基金会接受和使用公益捐赠</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（一）基金会接受捐赠，应当与捐赠人明确权利义务,并根据捐赠人的要求与其订立书面捐赠协议。</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基金会接受捐赠应当确保公益性。附加对捐赠人构成利益回报条件的赠与和不符合公益性目的的赠与，不应确认为公益捐赠，不得开具捐赠票据。</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（二）基金会应当在实际收到捐赠后据实开具捐赠票据。捐赠人不需要捐赠票据的，或者匿名捐赠的，也应当开具捐赠票据，由基金会留存备查。</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基金会接受非现金捐赠，应当在实际收到后确认收入并开具捐赠票据。受赠财产未经基金会验收确认，由捐赠人直接转移给受助人或者其他第三方的，不得作为基金会的捐赠收入，不得开具捐赠票据。</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（三）基金会接受非现金捐赠，应当按照以下方法确定入账价值：</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1.捐赠人提供了发票、报关单等凭据的，应当以相关凭据作为确认入账价值的依据；捐赠方不能提供凭据的，应当以其他确认捐赠财产的证明，作为确认入账价值的依据；</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2.捐赠人提供的凭据或其他能够确认受赠资产价值的证明上标明的金额与受赠资产公允价值相差较大的，应当以其公允价值作为入账价值。</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捐赠人捐赠固定资产、股权、无形资产、文物文化资产，应当以具有合法资质的第三方机构的评估作为确认入账价值的依据。无法评估或经评估无法确认价格的，基金会不得计入捐赠收入，不得开具捐赠票据，应当另外造册登记。</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（四）基金会接受食品、药品、医疗器械等捐赠物品时，应当确保物品在到达最终受益人时仍处于保质期内且具有使用价值。</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（五）基金会接受企业捐赠本企业生产的产品，应当要求企业提供产品质量认证证明或者产品合格证，以及受赠物品的品名、规格、种类、数量等相关资料。</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六）基金会应当将接受的捐赠财产用于资助符合其宗旨和业务范围的活动和事业。对于指定用于救助自然灾害等突发事件的受赠财产，用于应急的应当在应急期结束前使用完毕；用于灾后重建的应当在重建期结束前使用完毕。</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对确因特殊原因无法使用完毕的受赠财产，基金会可在取得捐赠人同意或在公开媒体上公示后，将受赠财产用于与原公益目的相近似的目的。</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七）基金会与捐赠人订立了捐赠协议的，应当按照协议约定使用受赠财产。如需改变用途，应当征得捐赠人同意且仍需用于公益事业；确实无法征求捐赠人意见的，应当按照基金会的宗旨用于与原公益目的相近似的目的。</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八）捐赠协议和募捐公告中约定可以从公益捐赠中列支工作人员工资福利和行政办公支出的，按照约定列支；没有约定的，不得从公益捐赠中列支。同时，基金会工作人员工资福利和行政办公支出应当符合《基金会管理条例》的要求，累计不得超过当年总支出的10%。</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工作人员工资福利包括：</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1.全体工作人员的工资、福利费、住房公积金、社会保险（障）费（含离退休人员）；</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2.担任专职工作理事的津贴、补助和理事会运行费用。</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行政办公支出包括：组织日常运作的办公费、水电费、邮电费、物业管理费、会议费、广告费、市内交通费、差旅费、折旧费、修理费、租赁费、无形资产摊销费、资产盘亏损失、资产减值损失、因预计负债所产生的损失、审计费、以及聘请中介机构费和应偿还的受赠资产等。</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（九）基金会用于公益事业的支出包括直接用于受助人的款物和为开展公益项目发生的直接运行费用。</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项目直接运行费用包括：</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1.支付给项目人员的报酬，包括：工资福利、劳务费、专家费等；</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2.为立项、执行、监督和评估公益项目发生的费用，包括：差旅费、交通费、通讯费、会议费、购买服务费等；</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3.为宣传、推广公益项目发生的费用，包括：广告费、购买服务费等；</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4.因项目需要租赁房屋、购买和维护固定资产的费用，包括：所发生的租赁费、折旧费、修理费、办公费、水电费、邮电费、物业管理费等；</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5.为开展项目需要支付的其他费用。</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捐赠协议和募捐公告中约定可以从公益捐赠中列支项目直接运行费用的，按照约定列支；没有约定的，不得超出本基金会规定的标准支出。</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（十）基金会应当对公益捐赠的使用情况进行全过程监督，确保受赠款物及时足额拨付和使用。</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（十一）基金会选定公益项目执行方、受益人，应当遵循公开、公正、公平和诚实信用的原则，保护社会公共利益和与项目有关的当事人的合法权益。</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基金会不得资助以营利为目的开展的活动。</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二、基金会的交易、合作及保值增值</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一）基金会应当严格区分交换交易收入和捐赠收入。通过出售物资、提供服务、授权使用或转让资产包括无形资产等交换交易取得的收入，应当记入商品销售收入、提供服务收入等相关会计科目，不得计入捐赠收入，不得开具公益事业捐赠票据。</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（二）基金会进行交换交易，应当保护自身和社会公众的合法权益。不得以低于公允价值的价格出售物资、提供服务、授权或者转让无形资产；不得以高于公允价值的价格购买产品和服务。</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（三）基金会不得将本组织的名称，公益项目品牌等其他应当用于公益目的的无形资产用于非公益目的。</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（四）基金会不得直接宣传、促销、销售企业的产品和品牌；不得为企业及其产品提供信誉或者质量担保。</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（五）基金会不得向个人、企业直接提供与公益活动无关的借款。</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（六）基金会进行保值增值活动时，应当遵守以下规定：</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1.基金会进行保值增值应当遵守合法、安全、有效的原则。符合基金会的宗旨，维护基金会的信誉，遵守与捐赠人和受助人的约定，保证公益支出的实现；</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2.基金会可用于保值增值的资产限于非限定性资产、在保值增值期间暂不需要拨付的限定性资产；</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3.基金会进行委托投资，应当委托银行或者其他金融机构进行。</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三、基金会的信息公布</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（一）基金会的信息公布工作，应当符合《基金会信息公布办法》的要求。</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二）基金会通过义演、义赛、义卖、义展等活动进行募捐时，应当在开展募捐前向社会公布捐赠人权利义务、资金详细使用计划、成本预算；在资金使用过程中计划有调整的，应当及时向公众公布调整后的计划。</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三）基金会通过募捐以及为自然灾害等突发事件接受的公益捐赠，应当在取得捐赠收入后定期在本组织网站和其他媒体上公布详细的收入和支出明细，包括：捐赠收入、直接用于受助人的款物、与所开展的公益项目相关的各项直接运行费用等，在捐赠收入中列支了工作人员工资福利和行政办公支出的，还应当公布列支的情况。项目运行周期大于3个月的，每3个月公示1次；所有项目应当在项目结束后进行全面公示。</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（四）捐赠人有权查询捐赠财产的使用、管理情况。对于捐赠人的查询，基金会应当及时如实答复。</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（五）基金会的年度工作报告除在登记管理机关指定的媒体上公布外，还应当置备于本基金会，接受捐赠人的查询。</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（六）基金会应当及时向社会公众公布下列信息：</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1.发起人；</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2.主要捐赠人；</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3.基金会理事主要来源单位；</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4.基金会投资的被投资方；</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5.其他与基金会存在控制、共同控制或者重大影响关系的个人或组织；</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6.基金会与上述个人或组织发生的交易。</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（七）基金会应当建立健全内部制度，将所有分支机构、代表机构、专项基金以及各项业务活动纳入统一管理。</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基金会应当在内部制度中对下列问题做出规定：</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1.各项工作人员工资福利和行政办公支出（以下简称日常运作费用）的支付标准、列支原则、审批程序，以及占基金会总支出的比例；</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2.开展公益项目所发生的与该项目直接相关的运行成本（以下简称项目直接成本）的支付标准、列支原则、审批程序，以及占该项目总支出的比例；</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3.资产管理和处置的原则、风险控制机制、审批程序，以及用于投资的资产占基金会总资产的比例。</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基金会的内部制度，应当在登记管理机关指定的媒体或者本组织网站等其他便于社会公众查询的媒体上予以公开。</w:t>
                  </w:r>
                </w:p>
                <w:p>
                  <w:pPr>
                    <w:pStyle w:val="2"/>
                    <w:keepNext w:val="0"/>
                    <w:keepLines w:val="0"/>
                    <w:widowControl/>
                    <w:suppressLineNumbers w:val="0"/>
                    <w:spacing w:line="220" w:lineRule="atLeast"/>
                    <w:rPr>
                      <w:rFonts w:hint="default" w:ascii="&amp;quot" w:hAnsi="&amp;quot" w:eastAsia="&amp;quot" w:cs="&amp;quot"/>
                      <w:color w:val="000000"/>
                      <w:sz w:val="28"/>
                      <w:szCs w:val="28"/>
                      <w:u w:val="none"/>
                    </w:rPr>
                  </w:pPr>
                  <w:r>
                    <w:rPr>
                      <w:rFonts w:hint="default" w:ascii="&amp;quot" w:hAnsi="&amp;quot" w:eastAsia="&amp;quot" w:cs="&amp;quot"/>
                      <w:color w:val="000000"/>
                      <w:sz w:val="28"/>
                      <w:szCs w:val="28"/>
                      <w:u w:val="none"/>
                    </w:rPr>
                    <w:t>    本规定适用于在民政部门登记注册的基金会和其他具有公益性捐赠税前扣除资格的社会团体。  </w:t>
                  </w:r>
                </w:p>
              </w:tc>
            </w:tr>
          </w:tbl>
          <w:p>
            <w:pPr>
              <w:jc w:val="center"/>
              <w:rPr>
                <w:rFonts w:hint="default" w:ascii="Times New Roman" w:hAnsi="Times New Roman" w:cs="Times New Roman"/>
                <w:i w:val="0"/>
                <w:caps w:val="0"/>
                <w:color w:val="000000"/>
                <w:spacing w:val="0"/>
                <w:sz w:val="28"/>
                <w:szCs w:val="28"/>
                <w:u w:val="none"/>
              </w:rPr>
            </w:pP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B0871"/>
    <w:rsid w:val="1E0B087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2018-10-08T10:36:00Z</dcterms:created>
  <dc:creator>刘亚超</dc:creator>
  <cp:lastModifiedBy>刘亚超</cp:lastModifiedBy>
  <dcterms:modified xsi:type="dcterms:W3CDTF">2018-10-08T10:37:23Z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