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ascii="微软雅黑" w:hAnsi="微软雅黑" w:eastAsia="微软雅黑" w:cs="微软雅黑"/>
          <w:b w:val="0"/>
          <w:color w:val="6D1353"/>
          <w:sz w:val="30"/>
          <w:szCs w:val="30"/>
        </w:rPr>
      </w:pPr>
      <w:r>
        <w:rPr>
          <w:rFonts w:hint="eastAsia" w:ascii="微软雅黑" w:hAnsi="微软雅黑" w:eastAsia="微软雅黑" w:cs="微软雅黑"/>
          <w:b w:val="0"/>
          <w:color w:val="6D1353"/>
          <w:sz w:val="30"/>
          <w:szCs w:val="30"/>
          <w:bdr w:val="none" w:color="auto" w:sz="0" w:space="0"/>
        </w:rPr>
        <w:t>民政部印发《关于规范基金会行为的若干规定（试行）》</w:t>
      </w:r>
    </w:p>
    <w:p>
      <w:pPr>
        <w:keepNext w:val="0"/>
        <w:keepLines w:val="0"/>
        <w:widowControl/>
        <w:suppressLineNumbers w:val="0"/>
        <w:spacing w:before="0" w:beforeAutospacing="0" w:after="0" w:afterAutospacing="0"/>
        <w:ind w:left="0" w:right="0"/>
        <w:jc w:val="left"/>
        <w:rPr>
          <w:rFonts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近日，民政部正式印发《关于规范基金会行为的若干规定（试行）》（以下简称《规定》），对于规范基金会接收和使用捐赠行为，基金会的交易、合作以及保值增值行为以及基金会的信息公开行为作了更为可操作性的指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今年4月24日，《规定》（征求意见稿）曾公开征求意见。据了解，与之前的征求意见稿相比，《规定》进一步明确了项目人员的工资福利应计入“工作人员工资福利和行政办公支出”和“公益事业支出”的规定。考虑到征求意见稿中“基金会不得资助营利组织”的规定，可能会影响基金会对一些未在民政部门注册但仍然从事非营利活动的组织的资助，印发的《规定》将“基金会不得资助营利组织”改为“基金会不得资助以营利为目的开展的活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另外，与征求意见稿不同的是，《规定》还就基金会应当及时向社会公众公布的信息进行了明确，并提出基金会内部制度的公开不再区分公募基金会和非公募基金会，都应当予以公开。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《规定》全文如下：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7"/>
          <w:szCs w:val="27"/>
        </w:rPr>
      </w:pPr>
      <w:r>
        <w:rPr>
          <w:rStyle w:val="4"/>
          <w:rFonts w:hint="eastAsia" w:ascii="微软雅黑" w:hAnsi="微软雅黑" w:eastAsia="微软雅黑" w:cs="微软雅黑"/>
          <w:kern w:val="0"/>
          <w:sz w:val="27"/>
          <w:szCs w:val="27"/>
          <w:lang w:val="en-US" w:eastAsia="zh-CN" w:bidi="ar"/>
        </w:rPr>
        <w:t>关于规范基金会行为的若干规定（试行）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为确保基金会恪守公益宗旨，规范开展活动，扩大公开透明，维护捐赠人、受益人和基金会的合法权益，进一步促进基金会健康发展，现对基金会行为规范中的若干问题作出如下规定：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一、基金会接受和使用公益捐赠</w:t>
      </w: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7"/>
          <w:szCs w:val="27"/>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（一）基金会接受捐赠，应当与捐赠人明确权利义务,并根据捐赠人的要求与其订立书面捐赠协议。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基金会接受捐赠应当确保公益性。附加对捐赠人构成利益回报条件的赠与和不符合公益性目的的赠与，不应确认为公益捐赠，不得开具捐赠票据。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（二）基金会应当在实际收到捐赠后据实开具捐赠票据。捐赠人不需要捐赠票据的，或者匿名捐赠的，也应当开具捐赠票据，由基金会留存备查。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基金会接受非现金捐赠，应当在实际收到后确认收入并开具捐赠票据。受赠财产未经基金会验收确认，由捐赠人直接转移给受助人或者其他第三方的，不得作为基金会的捐赠收入，不得开具捐赠票据。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（三）基金会接受非现金捐赠，应当按照以下方法确定入账价值：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1.捐赠人提供了发票、报关单等凭据的，应当以相关凭据作为确认入账价值的依据；捐赠方不能提供凭据的，应当以其他确认捐赠财产的证明，作为确认入账价值的依据；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2.捐赠人提供的凭据或其他能够确认受赠资产价值的证明上标明的金额与受赠资产公允价值相差较大的，应当以其公允价值作为入账价值。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捐赠人捐赠固定资产、股权、无形资产、文物文化资产，应当以具有合法资质的第三方机构的评估作为确认入账价值的依据。无法评估或经评估无法确认价格的，基金会不得计入捐赠收入，不得开具捐赠票据，应当另外造册登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（四）基金会接受食品、药品、医疗器械等捐赠物品时，应当确保物品在到达最终受益人时仍处于保质期内且具有使用价值。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（五）基金会接受企业捐赠本企业生产的产品，应当要求企业提供产品质量认证证明或者产品合格证，以及受赠物品的品名、规格、种类、数量等相关资料。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六）基金会应当将接受的捐赠财产用于资助符合其宗旨和业务范围的活动和事业。对于指定用于救助自然灾害等突发事件的受赠财产，用于应急的应当在应急期结束前使用完毕；用于灾后重建的应当在重建期结束前使用完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对确因特殊原因无法使用完毕的受赠财产，基金会可在取得捐赠人同意或在公开媒体上公示后，将受赠财产用于与原公益目的相近似的目的。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七）基金会与捐赠人订立了捐赠协议的，应当按照协议约定使用受赠财产。如需改变用途，应当征得捐赠人同意且仍需用于公益事业；确实无法征求捐赠人意见的，应当按照基金会的宗旨用于与原公益目的相近似的目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八）捐赠协议和募捐公告中约定可以从公益捐赠中列支工作人员工资福利和行政办公支出的，按照约定列支；没有约定的，不得从公益捐赠中列支。同时，基金会工作人员工资福利和行政办公支出应当符合《基金会管理条例》的要求，累计不得超过当年总支出的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工作人员工资福利包括：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1.全体工作人员的工资、福利费、住房公积金、社会保险（障）费（含离退休人员）；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2.担任专职工作理事的津贴、补助和理事会运行费用。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行政办公支出包括：组织日常运作的办公费、水电费、邮电费、物业管理费、会议费、广告费、市内交通费、差旅费、折旧费、修理费、租赁费、无形资产摊销费、资产盘亏损失、资产减值损失、因预计负债所产生的损失、审计费、以及聘请中介机构费和应偿还的受赠资产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（九）基金会用于公益事业的支出包括直接用于受助人的款物和为开展公益项目发生的直接运行费用。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项目直接运行费用包括：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1.支付给项目人员的报酬，包括：工资福利、劳务费、专家费等；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2.为立项、执行、监督和评估公益项目发生的费用，包括：差旅费、交通费、通讯费、会议费、购买服务费等；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3.为宣传、推广公益项目发生的费用，包括：广告费、购买服务费等；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4.因项目需要租赁房屋、购买和维护固定资产的费用，包括：所发生的租赁费、折旧费、修理费、办公费、水电费、邮电费、物业管理费等；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5.为开展项目需要支付的其他费用。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捐赠协议和募捐公告中约定可以从公益捐赠中列支项目直接运行费用的，按照约定列支；没有约定的，不得超出本基金会规定的标准支出。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（十）基金会应当对公益捐赠的使用情况进行全过程监督，确保受赠款物及时足额拨付和使用。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（十一）基金会选定公益项目执行方、受益人，应当遵循公开、公正、公平和诚实信用的原则，保护社会公共利益和与项目有关的当事人的合法权益。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基金会不得资助以营利为目的开展的活动。</w:t>
      </w: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  </w:t>
      </w: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二、基金会的交易、合作及保值增值</w:t>
      </w: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7"/>
          <w:szCs w:val="27"/>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一）基金会应当严格区分交换交易收入和捐赠收入。通过出售物资、提供服务、授权使用或转让资产包括无形资产等交换交易取得的收入，应当记入商品销售收入、提供服务收入等相关会计科目，不得计入捐赠收入，不得开具公益事业捐赠票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（二）基金会进行交换交易，应当保护自身和社会公众的合法权益。不得以低于公允价值的价格出售物资、提供服务、授权或者转让无形资产；不得以高于公允价值的价格购买产品和服务。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（三）基金会不得将本组织的名称，公益项目品牌等其他应当用于公益目的的无形资产用于非公益目的。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（四）基金会不得直接宣传、促销、销售企业的产品和品牌；不得为企业及其产品提供信誉或者质量担保。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（五）基金会不得向个人、企业直接提供与公益活动无关的借款。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（六）基金会进行保值增值活动时，应当遵守以下规定：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1.基金会进行保值增值应当遵守合法、安全、有效的原则。符合基金会的宗旨，维护基金会的信誉，遵守与捐赠人和受助人的约定，保证公益支出的实现；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2.基金会可用于保值增值的资产限于非限定性资产、在保值增值期间暂不需要拨付的限定性资产；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3.基金会进行委托投资，应当委托银行或者其他金融机构进行。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三、基金会的信息公布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（一）基金会的信息公布工作，应当符合《基金会信息公布办法》的要求。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二）基金会通过义演、义赛、义卖、义展等活动进行募捐时，应当在开展募捐前向社会公布捐赠人权利义务、资金详细使用计划、成本预算；在资金使用过程中计划有调整的，应当及时向公众公布调整后的计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三）基金会通过募捐以及为自然灾害等突发事件接受的公益捐赠，应当在取得捐赠收入后定期在本组织网站和其他媒体上公布详细的收入和支出明细，包括：捐赠收入、直接用于受助人的款物、与所开展的公益项目相关的各项直接运行费用等，在捐赠收入中列支了工作人员工资福利和行政办公支出的，还应当公布列支的情况。项目运行周期大于3个月的，每3个月公示1次；所有项目应当在项目结束后进行全面公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（四）捐赠人有权查询捐赠财产的使用、管理情况。对于捐赠人的查询，基金会应当及时如实答复。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（五）基金会的年度工作报告除在登记管理机关指定的媒体上公布外，还应当置备于本基金会，接受捐赠人的查询。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（六）基金会应当及时向社会公众公布下列信息：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1.发起人；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2.主要捐赠人；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3.基金会理事主要来源单位；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4.基金会投资的被投资方；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5.其他与基金会存在控制、共同控制或者重大影响关系的个人或组织；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6.基金会与上述个人或组织发生的交易。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（七）基金会应当建立健全内部制度，将所有分支机构、代表机构、专项基金以及各项业务活动纳入统一管理。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基金会应当在内部制度中对下列问题做出规定：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1.各项工作人员工资福利和行政办公支出（以下简称日常运作费用）的支付标准、列支原则、审批程序，以及占基金会总支出的比例；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2.开展公益项目所发生的与该项目直接相关的运行成本（以下简称项目直接成本）的支付标准、列支原则、审批程序，以及占该项目总支出的比例；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7"/>
          <w:szCs w:val="27"/>
          <w:lang w:val="en-US" w:eastAsia="zh-CN" w:bidi="ar"/>
        </w:rPr>
        <w:t>3.资产管理和处置的原则、风险控制机制、审批程序，以及用于投资的资产占基金会总资产的比例。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基金会的内部制度，应当在登记管理机关指定的媒体或者本组织网站等其他便于社会公众查询的媒体上予以公开。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lang w:val="en-US" w:eastAsia="zh-CN" w:bidi="ar"/>
        </w:rPr>
        <w:t>本规定适用于在民政部门登记注册的基金会和其他具有公益性捐赠税前扣除资格的社会团体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171B6"/>
    <w:rsid w:val="4D1171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2B2A2A"/>
      <w:u w:val="none"/>
    </w:rPr>
  </w:style>
  <w:style w:type="character" w:styleId="6">
    <w:name w:val="Hyperlink"/>
    <w:basedOn w:val="3"/>
    <w:uiPriority w:val="0"/>
    <w:rPr>
      <w:color w:val="2B2A2A"/>
      <w:u w:val="none"/>
    </w:rPr>
  </w:style>
  <w:style w:type="character" w:customStyle="1" w:styleId="8">
    <w:name w:val="item-name"/>
    <w:basedOn w:val="3"/>
    <w:uiPriority w:val="0"/>
    <w:rPr>
      <w:bdr w:val="none" w:color="auto" w:sz="0" w:space="0"/>
    </w:rPr>
  </w:style>
  <w:style w:type="character" w:customStyle="1" w:styleId="9">
    <w:name w:val="item-name1"/>
    <w:basedOn w:val="3"/>
    <w:uiPriority w:val="0"/>
    <w:rPr>
      <w:bdr w:val="none" w:color="auto" w:sz="0" w:space="0"/>
    </w:rPr>
  </w:style>
  <w:style w:type="character" w:customStyle="1" w:styleId="10">
    <w:name w:val="item-name2"/>
    <w:basedOn w:val="3"/>
    <w:uiPriority w:val="0"/>
    <w:rPr>
      <w:bdr w:val="none" w:color="auto" w:sz="0" w:space="0"/>
    </w:rPr>
  </w:style>
  <w:style w:type="character" w:customStyle="1" w:styleId="11">
    <w:name w:val="item-name3"/>
    <w:basedOn w:val="3"/>
    <w:uiPriority w:val="0"/>
    <w:rPr>
      <w:bdr w:val="none" w:color="auto" w:sz="0" w:space="0"/>
    </w:rPr>
  </w:style>
  <w:style w:type="character" w:customStyle="1" w:styleId="12">
    <w:name w:val="item-name4"/>
    <w:basedOn w:val="3"/>
    <w:uiPriority w:val="0"/>
  </w:style>
  <w:style w:type="character" w:customStyle="1" w:styleId="13">
    <w:name w:val="column-name12"/>
    <w:basedOn w:val="3"/>
    <w:uiPriority w:val="0"/>
    <w:rPr>
      <w:color w:val="124D83"/>
    </w:rPr>
  </w:style>
  <w:style w:type="character" w:customStyle="1" w:styleId="14">
    <w:name w:val="column-name13"/>
    <w:basedOn w:val="3"/>
    <w:uiPriority w:val="0"/>
    <w:rPr>
      <w:color w:val="124D83"/>
    </w:rPr>
  </w:style>
  <w:style w:type="character" w:customStyle="1" w:styleId="15">
    <w:name w:val="column-name14"/>
    <w:basedOn w:val="3"/>
    <w:uiPriority w:val="0"/>
    <w:rPr>
      <w:color w:val="124D83"/>
    </w:rPr>
  </w:style>
  <w:style w:type="character" w:customStyle="1" w:styleId="16">
    <w:name w:val="column-name15"/>
    <w:basedOn w:val="3"/>
    <w:uiPriority w:val="0"/>
    <w:rPr>
      <w:color w:val="124D83"/>
    </w:rPr>
  </w:style>
  <w:style w:type="character" w:customStyle="1" w:styleId="17">
    <w:name w:val="column-name16"/>
    <w:basedOn w:val="3"/>
    <w:uiPriority w:val="0"/>
    <w:rPr>
      <w:color w:val="124D83"/>
    </w:rPr>
  </w:style>
  <w:style w:type="character" w:customStyle="1" w:styleId="18">
    <w:name w:val="column-name"/>
    <w:basedOn w:val="3"/>
    <w:uiPriority w:val="0"/>
    <w:rPr>
      <w:color w:val="124D83"/>
    </w:rPr>
  </w:style>
  <w:style w:type="character" w:customStyle="1" w:styleId="19">
    <w:name w:val="column-name1"/>
    <w:basedOn w:val="3"/>
    <w:uiPriority w:val="0"/>
    <w:rPr>
      <w:color w:val="124D83"/>
    </w:rPr>
  </w:style>
  <w:style w:type="character" w:customStyle="1" w:styleId="20">
    <w:name w:val="column-name2"/>
    <w:basedOn w:val="3"/>
    <w:uiPriority w:val="0"/>
    <w:rPr>
      <w:color w:val="124D83"/>
    </w:rPr>
  </w:style>
  <w:style w:type="character" w:customStyle="1" w:styleId="21">
    <w:name w:val="column-name3"/>
    <w:basedOn w:val="3"/>
    <w:uiPriority w:val="0"/>
    <w:rPr>
      <w:color w:val="124D83"/>
    </w:rPr>
  </w:style>
  <w:style w:type="character" w:customStyle="1" w:styleId="22">
    <w:name w:val="column-name4"/>
    <w:basedOn w:val="3"/>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2018-09-10T03:23:00Z</dcterms:created>
  <dc:creator>刘亚超</dc:creator>
  <cp:lastModifiedBy>刘亚超</cp:lastModifiedBy>
  <dcterms:modified xsi:type="dcterms:W3CDTF">2018-09-10T03:24:37Z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