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i w:val="0"/>
          <w:caps w:val="0"/>
          <w:color w:val="666666"/>
          <w:spacing w:val="0"/>
          <w:sz w:val="27"/>
          <w:szCs w:val="27"/>
          <w:shd w:val="clear" w:fill="FFFFFF"/>
        </w:rPr>
      </w:pPr>
      <w:r>
        <w:rPr>
          <w:rFonts w:ascii="微软雅黑" w:hAnsi="微软雅黑" w:eastAsia="微软雅黑" w:cs="微软雅黑"/>
          <w:b/>
          <w:i w:val="0"/>
          <w:caps w:val="0"/>
          <w:color w:val="666666"/>
          <w:spacing w:val="0"/>
          <w:sz w:val="27"/>
          <w:szCs w:val="27"/>
          <w:shd w:val="clear" w:fill="FFFFFF"/>
        </w:rPr>
        <w:t>慈善组织公开募捐管理办法（中华人民共和国民政部令第59号）</w:t>
      </w:r>
    </w:p>
    <w:p>
      <w:pPr>
        <w:keepNext w:val="0"/>
        <w:keepLines w:val="0"/>
        <w:widowControl/>
        <w:suppressLineNumbers w:val="0"/>
        <w:jc w:val="left"/>
      </w:pPr>
      <w:r>
        <w:rPr>
          <w:rFonts w:ascii="微软雅黑" w:hAnsi="微软雅黑" w:eastAsia="微软雅黑" w:cs="微软雅黑"/>
          <w:b w:val="0"/>
          <w:i w:val="0"/>
          <w:caps w:val="0"/>
          <w:color w:val="666666"/>
          <w:spacing w:val="0"/>
          <w:kern w:val="0"/>
          <w:sz w:val="24"/>
          <w:szCs w:val="24"/>
          <w:shd w:val="clear" w:fill="FFFFFF"/>
          <w:lang w:val="en-US" w:eastAsia="zh-CN" w:bidi="ar"/>
        </w:rPr>
        <w:t>《慈善组织公开募捐管理办法》已经2016年8月29日民政部部务会议通过，现予以公布，自2016年9月1日起施行。</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部 长：李立国</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w:t>
      </w:r>
      <w:bookmarkStart w:id="0" w:name="_GoBack"/>
      <w:bookmarkEnd w:id="0"/>
      <w:r>
        <w:rPr>
          <w:rFonts w:hint="eastAsia" w:ascii="微软雅黑" w:hAnsi="微软雅黑" w:eastAsia="微软雅黑" w:cs="微软雅黑"/>
          <w:b w:val="0"/>
          <w:i w:val="0"/>
          <w:caps w:val="0"/>
          <w:color w:val="666666"/>
          <w:spacing w:val="0"/>
          <w:kern w:val="0"/>
          <w:sz w:val="24"/>
          <w:szCs w:val="24"/>
          <w:shd w:val="clear" w:fill="FFFFFF"/>
          <w:lang w:val="en-US" w:eastAsia="zh-CN" w:bidi="ar"/>
        </w:rPr>
        <w:t>   2016年8月31日</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666666"/>
          <w:spacing w:val="0"/>
          <w:sz w:val="24"/>
          <w:szCs w:val="24"/>
        </w:rPr>
      </w:pPr>
      <w:r>
        <w:rPr>
          <w:rStyle w:val="4"/>
          <w:rFonts w:hint="eastAsia" w:ascii="微软雅黑" w:hAnsi="微软雅黑" w:eastAsia="微软雅黑" w:cs="微软雅黑"/>
          <w:i w:val="0"/>
          <w:caps w:val="0"/>
          <w:color w:val="666666"/>
          <w:spacing w:val="0"/>
          <w:sz w:val="24"/>
          <w:szCs w:val="24"/>
          <w:bdr w:val="none" w:color="auto" w:sz="0" w:space="0"/>
          <w:shd w:val="clear" w:fill="FFFFFF"/>
        </w:rPr>
        <w:t>慈善组织公开募捐管理办法</w:t>
      </w:r>
    </w:p>
    <w:p>
      <w:pPr>
        <w:keepNext w:val="0"/>
        <w:keepLines w:val="0"/>
        <w:widowControl/>
        <w:suppressLineNumbers w:val="0"/>
        <w:jc w:val="left"/>
      </w:pPr>
      <w:r>
        <w:rPr>
          <w:rFonts w:hint="eastAsia" w:ascii="微软雅黑" w:hAnsi="微软雅黑" w:eastAsia="微软雅黑" w:cs="微软雅黑"/>
          <w:b w:val="0"/>
          <w:i w:val="0"/>
          <w:caps w:val="0"/>
          <w:color w:val="666666"/>
          <w:spacing w:val="0"/>
          <w:kern w:val="0"/>
          <w:sz w:val="24"/>
          <w:szCs w:val="24"/>
          <w:shd w:val="clear" w:fill="FFFFFF"/>
          <w:lang w:val="en-US" w:eastAsia="zh-CN" w:bidi="ar"/>
        </w:rPr>
        <w:t> </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第一条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为了规范慈善组织开展公开募捐，根据《中华人民共和国慈善法》（以下简称《慈善法》），制定本办法。</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第二条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慈善组织公开募捐资格和公开募捐活动管理，适用本办法。</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第三条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依法取得公开募捐资格的慈善组织可以面向公众开展募捐。不具有公开募捐资格的组织和个人不得开展公开募捐。</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第四条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县级以上人民政府民政部门依法对其登记的慈善组织公开募捐资格和公开募捐活动进行监督管理，并对本行政区域内涉及公开募捐的有关活动进行监督管理。</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第五条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依法登记或者认定为慈善组织满二年的社会组织，申请公开募捐资格，应当符合下列条件：</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（一）根据法律法规和本组织章程建立规范的内部治理结构，理事会能够有效决策，负责人任职符合有关规定，理事会成员和负责人勤勉尽职，诚实守信； </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（二）理事会成员来自同一组织以及相互间存在关联关系组织的不超过三分之一，相互间具有近亲属关系的没有同时在理事会任职；</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（三）理事会成员中非内地居民不超过三分之一，法定代表人由内地居民担任;</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（四）秘书长为专职，理事长（会长）、秘书长不得由同一人兼任，有与本慈善组织开展活动相适应的专职工作人员；</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（五）在省级以上人民政府民政部门登记的慈善组织有三名以上监事组成的监事会；</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（六）依法办理税务登记，履行纳税义务；</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（七）按照规定参加社会组织评估，评估结果为3A及以上；</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（八）申请时未纳入异常名录；</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（九）申请公开募捐资格前二年，未因违反社会组织相关法律法规受到行政处罚，没有其他违反法律、法规、国家政策行为的。</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《慈善法》公布前设立的非公募基金会、具有公益性捐赠税前扣除资格的社会团体，登记满二年，经认定为慈善组织的，可以申请公开募捐资格。    </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第六条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慈善组织申请公开募捐资格，应当向其登记的民政部门提交下列材料：</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（一）申请书，包括本组织符合第五条各项条件的具体说明和书面承诺；</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（二）注册会计师出具的申请前二年的财务审计报告，包括年度慈善活动支出和年度管理费用的专项审计；</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（三）理事会关于申请公开募捐资格的会议纪要。</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有业务主管单位的慈善组织，还应当提交经业务主管单位同意的证明材料。</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评估等级在4A及以上的慈善组织免于提交第一款第二项、第三项规定的材料。</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第七条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民政部门收到全部有效材料后，应当依法进行审核。</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情况复杂的，民政部门可以征求有关部门意见或者通过论证会、听证会等形式听取意见，也可以根据需要对该组织进行实地考察。</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第八条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民政部门应当自受理之日起二十日内作出决定。对符合条件的慈善组织，发给公开募捐资格证书；对不符合条件的，不发给公开募捐资格证书并书面说明理由。</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第九条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《慈善法》公布前登记设立的公募基金会，凭其标明慈善组织属性的登记证书向登记的民政部门申领公开募捐资格证书。</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第十条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开展公开募捐活动，应当依法制定募捐方案。募捐方案包括募捐目的、起止时间和地域、活动负责人姓名和办公地址、接受捐赠方式、银行账户、受益人、募得款物用途、募捐成本、剩余财产的处理等。</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第十一条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应当在开展公开募捐活动的十日前将募捐方案报送登记的民政部门备案。材料齐备的，民政部门应当即时受理，对予以备案的向社会公开；对募捐方案内容不齐备的，应当即时告知慈善组织，慈善组织应当在十日内向其登记的民政部门予以补正。</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为同一募捐目的开展的公开募捐活动可以合并备案。公开募捐活动进行中，募捐方案的有关事项发生变化的，慈善组织应当在事项发生变化之日起十日内向其登记的民政部门补正并说明理由。</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有业务主管单位的慈善组织，还应当同时将募捐方案报送业务主管单位。</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开展公开募捐活动，涉及公共安全、公共秩序、消防等事项的，还应当按照其他有关规定履行批准程序。</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第十二条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慈善组织为应对重大自然灾害、事故灾难和公共卫生事件等突发事件，无法在开展公开募捐活动前办理募捐方案备案的，应当在公开募捐活动开始后十日内补办备案手续。</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第十三条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在其登记的民政部门管辖区域外，以《慈善法》第二十三条第一款第一项、第二项方式开展公开募捐活动的，除向其登记的民政部门备案外，还应当在开展公开募捐活动十日前，向其开展募捐活动所在地的县级人民政府民政部门备案，提交募捐方案、公开募捐资格证书复印件、确有必要在当地开展公开募捐活动的情况说明。</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第十四条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开展公开募捐活动应当按照本组织章程载明的宗旨和业务范围，确定明确的募捐目的和捐赠财产使用计划；应当履行必要的内部决策程序；应当使用本组织账户，不得使用个人和其他组织的账户；应当建立公开募捐信息档案，妥善保管、方便查阅。</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第十五条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慈善组织开展公开募捐活动，应当在募捐活动现场或者募捐活动载体的显著位置，公布本组织名称、公开募捐资格证书、募捐方案、联系方式、募捐信息查询方法等。</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第十六条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通过互联网开展公开募捐活动的，应当在民政部统一或者指定的慈善信息平台发布公开募捐信息，并可以同时在以本慈善组织名义开通的门户网站、官方微博、官方微信、移动客户端等网络平台发布公开募捐信息。</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第十七条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具有公开募捐资格的慈善组织与不具有公开募捐资格的组织或者个人合作开展公开募捐活动，应当依法签订书面协议，使用具有公开募捐资格的慈善组织名义开展公开募捐活动；募捐活动的全部收支应当纳入该慈善组织的账户，由该慈善组织统一进行财务核算和管理，并承担法律责任。</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第十八条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慈善组织为急难救助设立慈善项目，开展公开募捐活动时，应当坚持公开、公平、公正的原则，合理确定救助标准，监督受益人珍惜慈善资助，按照募捐方案的规定合理使用捐赠财产。</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第十九条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慈善组织应当加强对募得捐赠财产的管理，依据法律法规、章程规定和募捐方案使用捐赠财产。确需变更募捐方案规定的捐赠财产用途的，应当召开理事会进行审议，报其登记的民政部门备案，并向社会公开。</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第二十条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慈善组织应当依照有关规定定期将公开募捐情况和慈善项目实施情况向社会公开。</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第二十一条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具有公开募捐资格的慈善组织有下列情形之一的，由登记的民政部门纳入活动异常名录并向社会公告：</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（一）不符合本办法第五条规定条件的；</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（二）连续六个月不开展公开募捐活动的。</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第二十二条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慈善组织被依法撤销公开募捐资格的，应当立即停止公开募捐活动并将相关情况向社会公开。</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出现前款规定情形的，民政部门应当及时向社会公告。</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第二十三条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慈善组织有下列情形之一的，民政部门可以给予警告、责令限期改正：</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（一）伪造、变造、出租、出借公开募捐资格证书的；</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（二）未依照本办法进行备案的；</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（三）未按照募捐方案确定的时间、期限、地域范围、方式进行募捐的；</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（四）开展公开募捐未在募捐活动现场或者募捐活动载体的显著位置公布募捐活动信息的；</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（五）开展公开募捐取得的捐赠财产未纳入慈善组织统一核算和账户管理的；</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（六）其他违反本办法情形的。</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第二十四条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公开募捐资格证书、公开募捐方案范本等格式文本，由民政部统一制定。</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第二十五条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本办法由民政部负责解释。</w:t>
      </w:r>
      <w:r>
        <w:rPr>
          <w:rFonts w:hint="eastAsia" w:ascii="微软雅黑" w:hAnsi="微软雅黑" w:eastAsia="微软雅黑" w:cs="微软雅黑"/>
          <w:b w:val="0"/>
          <w:i w:val="0"/>
          <w:caps w:val="0"/>
          <w:color w:val="666666"/>
          <w:spacing w:val="0"/>
          <w:kern w:val="0"/>
          <w:sz w:val="24"/>
          <w:szCs w:val="24"/>
          <w:bdr w:val="none" w:color="auto" w:sz="0" w:space="0"/>
          <w:shd w:val="clear" w:fill="FFFFFF"/>
          <w:lang w:val="en-US" w:eastAsia="zh-CN" w:bidi="ar"/>
        </w:rPr>
        <w:br w:type="textWrapping"/>
      </w:r>
      <w:r>
        <w:rPr>
          <w:rStyle w:val="4"/>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    第二十六条</w:t>
      </w:r>
      <w:r>
        <w:rPr>
          <w:rFonts w:hint="eastAsia" w:ascii="微软雅黑" w:hAnsi="微软雅黑" w:eastAsia="微软雅黑" w:cs="微软雅黑"/>
          <w:b w:val="0"/>
          <w:i w:val="0"/>
          <w:caps w:val="0"/>
          <w:color w:val="666666"/>
          <w:spacing w:val="0"/>
          <w:kern w:val="0"/>
          <w:sz w:val="24"/>
          <w:szCs w:val="24"/>
          <w:shd w:val="clear" w:fill="FFFFFF"/>
          <w:lang w:val="en-US" w:eastAsia="zh-CN" w:bidi="ar"/>
        </w:rPr>
        <w:t> 本办法自2016年9月1日起施行。</w:t>
      </w:r>
    </w:p>
    <w:p>
      <w:pPr>
        <w:rPr>
          <w:rFonts w:ascii="微软雅黑" w:hAnsi="微软雅黑" w:eastAsia="微软雅黑" w:cs="微软雅黑"/>
          <w:b/>
          <w:i w:val="0"/>
          <w:caps w:val="0"/>
          <w:color w:val="666666"/>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32870"/>
    <w:rsid w:val="4563287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10;&#26469;&#20255;&#19994;\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2018-08-16T06:45:00Z</dcterms:created>
  <dc:creator>刘亚超</dc:creator>
  <cp:lastModifiedBy>刘亚超</cp:lastModifiedBy>
  <dcterms:modified xsi:type="dcterms:W3CDTF">2018-08-16T06:46:05Z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