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atLeast"/>
        <w:jc w:val="center"/>
        <w:rPr>
          <w:rFonts w:hint="eastAsia"/>
          <w:b/>
          <w:bCs/>
          <w:color w:val="2B2B2B"/>
          <w:kern w:val="0"/>
          <w:sz w:val="36"/>
          <w:szCs w:val="36"/>
          <w:lang w:eastAsia="zh-CN"/>
        </w:rPr>
      </w:pPr>
      <w:r>
        <w:rPr>
          <w:rFonts w:hint="eastAsia"/>
          <w:b/>
          <w:bCs/>
          <w:color w:val="2B2B2B"/>
          <w:kern w:val="0"/>
          <w:sz w:val="36"/>
          <w:szCs w:val="36"/>
          <w:lang w:eastAsia="zh-CN"/>
        </w:rPr>
        <w:t>北京万和公益基金会</w:t>
      </w:r>
    </w:p>
    <w:p>
      <w:pPr>
        <w:widowControl/>
        <w:spacing w:line="460" w:lineRule="atLeast"/>
        <w:jc w:val="center"/>
        <w:rPr>
          <w:color w:val="2B2B2B"/>
          <w:kern w:val="0"/>
          <w:sz w:val="36"/>
          <w:szCs w:val="36"/>
        </w:rPr>
      </w:pPr>
      <w:r>
        <w:rPr>
          <w:b/>
          <w:bCs/>
          <w:color w:val="2B2B2B"/>
          <w:kern w:val="0"/>
          <w:sz w:val="36"/>
          <w:szCs w:val="36"/>
        </w:rPr>
        <w:t>财务管理条例</w:t>
      </w:r>
    </w:p>
    <w:p>
      <w:pPr>
        <w:widowControl/>
        <w:spacing w:line="460" w:lineRule="atLeast"/>
        <w:jc w:val="left"/>
        <w:rPr>
          <w:color w:val="2B2B2B"/>
          <w:kern w:val="0"/>
          <w:szCs w:val="21"/>
        </w:rPr>
      </w:pPr>
      <w:r>
        <w:rPr>
          <w:color w:val="2B2B2B"/>
          <w:kern w:val="0"/>
          <w:szCs w:val="21"/>
        </w:rPr>
        <w:t> </w:t>
      </w:r>
    </w:p>
    <w:p>
      <w:pPr>
        <w:widowControl/>
        <w:spacing w:line="460" w:lineRule="atLeast"/>
        <w:jc w:val="center"/>
        <w:rPr>
          <w:rFonts w:hint="eastAsia" w:eastAsia="宋体"/>
          <w:color w:val="2B2B2B"/>
          <w:kern w:val="0"/>
          <w:sz w:val="28"/>
          <w:szCs w:val="28"/>
          <w:lang w:eastAsia="zh-CN"/>
        </w:rPr>
      </w:pPr>
      <w:r>
        <w:rPr>
          <w:color w:val="2B2B2B"/>
          <w:kern w:val="0"/>
          <w:sz w:val="28"/>
          <w:szCs w:val="28"/>
        </w:rPr>
        <w:t>目录</w:t>
      </w:r>
    </w:p>
    <w:p>
      <w:pPr>
        <w:widowControl/>
        <w:spacing w:line="460" w:lineRule="atLeast"/>
        <w:jc w:val="center"/>
        <w:rPr>
          <w:color w:val="2B2B2B"/>
          <w:kern w:val="0"/>
          <w:sz w:val="28"/>
          <w:szCs w:val="28"/>
        </w:rPr>
      </w:pPr>
      <w:r>
        <w:rPr>
          <w:sz w:val="28"/>
          <w:szCs w:val="28"/>
        </w:rPr>
        <w:fldChar w:fldCharType="begin"/>
      </w:r>
      <w:r>
        <w:rPr>
          <w:sz w:val="28"/>
          <w:szCs w:val="28"/>
        </w:rPr>
        <w:instrText xml:space="preserve"> HYPERLINK "http://www.cfpa.org.cn/article/article_toCreate.action" \l "_Toc332803876" </w:instrText>
      </w:r>
      <w:r>
        <w:rPr>
          <w:sz w:val="28"/>
          <w:szCs w:val="28"/>
        </w:rPr>
        <w:fldChar w:fldCharType="separate"/>
      </w:r>
      <w:r>
        <w:rPr>
          <w:color w:val="000000"/>
          <w:kern w:val="0"/>
          <w:sz w:val="28"/>
          <w:szCs w:val="28"/>
          <w:u w:val="single"/>
        </w:rPr>
        <w:t>第一章      总  则... 2</w:t>
      </w:r>
      <w:r>
        <w:rPr>
          <w:color w:val="000000"/>
          <w:kern w:val="0"/>
          <w:sz w:val="28"/>
          <w:szCs w:val="28"/>
          <w:u w:val="single"/>
        </w:rPr>
        <w:fldChar w:fldCharType="end"/>
      </w:r>
    </w:p>
    <w:p>
      <w:pPr>
        <w:widowControl/>
        <w:spacing w:line="460" w:lineRule="atLeast"/>
        <w:jc w:val="center"/>
        <w:rPr>
          <w:color w:val="2B2B2B"/>
          <w:kern w:val="0"/>
          <w:sz w:val="28"/>
          <w:szCs w:val="28"/>
        </w:rPr>
      </w:pPr>
      <w:r>
        <w:rPr>
          <w:sz w:val="28"/>
          <w:szCs w:val="28"/>
        </w:rPr>
        <w:fldChar w:fldCharType="begin"/>
      </w:r>
      <w:r>
        <w:rPr>
          <w:sz w:val="28"/>
          <w:szCs w:val="28"/>
        </w:rPr>
        <w:instrText xml:space="preserve"> HYPERLINK "http://www.cfpa.org.cn/article/article_toCreate.action" \l "_Toc332803877" </w:instrText>
      </w:r>
      <w:r>
        <w:rPr>
          <w:sz w:val="28"/>
          <w:szCs w:val="28"/>
        </w:rPr>
        <w:fldChar w:fldCharType="separate"/>
      </w:r>
      <w:r>
        <w:rPr>
          <w:color w:val="000000"/>
          <w:kern w:val="0"/>
          <w:sz w:val="28"/>
          <w:szCs w:val="28"/>
          <w:u w:val="single"/>
        </w:rPr>
        <w:t>第二章      机构设置及职能... 2</w:t>
      </w:r>
      <w:r>
        <w:rPr>
          <w:color w:val="000000"/>
          <w:kern w:val="0"/>
          <w:sz w:val="28"/>
          <w:szCs w:val="28"/>
          <w:u w:val="single"/>
        </w:rPr>
        <w:fldChar w:fldCharType="end"/>
      </w:r>
    </w:p>
    <w:p>
      <w:pPr>
        <w:widowControl/>
        <w:spacing w:line="460" w:lineRule="atLeast"/>
        <w:jc w:val="center"/>
        <w:rPr>
          <w:color w:val="2B2B2B"/>
          <w:kern w:val="0"/>
          <w:sz w:val="28"/>
          <w:szCs w:val="28"/>
        </w:rPr>
      </w:pPr>
      <w:r>
        <w:rPr>
          <w:sz w:val="28"/>
          <w:szCs w:val="28"/>
        </w:rPr>
        <w:fldChar w:fldCharType="begin"/>
      </w:r>
      <w:r>
        <w:rPr>
          <w:sz w:val="28"/>
          <w:szCs w:val="28"/>
        </w:rPr>
        <w:instrText xml:space="preserve"> HYPERLINK "http://www.cfpa.org.cn/article/article_toCreate.action" \l "_Toc332803878" </w:instrText>
      </w:r>
      <w:r>
        <w:rPr>
          <w:sz w:val="28"/>
          <w:szCs w:val="28"/>
        </w:rPr>
        <w:fldChar w:fldCharType="separate"/>
      </w:r>
      <w:r>
        <w:rPr>
          <w:color w:val="000000"/>
          <w:kern w:val="0"/>
          <w:sz w:val="28"/>
          <w:szCs w:val="28"/>
          <w:u w:val="single"/>
        </w:rPr>
        <w:t>第三章      全面预算管理... 3</w:t>
      </w:r>
      <w:r>
        <w:rPr>
          <w:color w:val="000000"/>
          <w:kern w:val="0"/>
          <w:sz w:val="28"/>
          <w:szCs w:val="28"/>
          <w:u w:val="single"/>
        </w:rPr>
        <w:fldChar w:fldCharType="end"/>
      </w:r>
    </w:p>
    <w:p>
      <w:pPr>
        <w:widowControl/>
        <w:spacing w:line="460" w:lineRule="atLeast"/>
        <w:jc w:val="center"/>
        <w:rPr>
          <w:color w:val="2B2B2B"/>
          <w:kern w:val="0"/>
          <w:sz w:val="28"/>
          <w:szCs w:val="28"/>
        </w:rPr>
      </w:pPr>
      <w:r>
        <w:rPr>
          <w:sz w:val="28"/>
          <w:szCs w:val="28"/>
        </w:rPr>
        <w:fldChar w:fldCharType="begin"/>
      </w:r>
      <w:r>
        <w:rPr>
          <w:sz w:val="28"/>
          <w:szCs w:val="28"/>
        </w:rPr>
        <w:instrText xml:space="preserve"> HYPERLINK "http://www.cfpa.org.cn/article/article_toCreate.action" \l "_Toc332803879" </w:instrText>
      </w:r>
      <w:r>
        <w:rPr>
          <w:sz w:val="28"/>
          <w:szCs w:val="28"/>
        </w:rPr>
        <w:fldChar w:fldCharType="separate"/>
      </w:r>
      <w:r>
        <w:rPr>
          <w:color w:val="000000"/>
          <w:kern w:val="0"/>
          <w:sz w:val="28"/>
          <w:szCs w:val="28"/>
          <w:u w:val="single"/>
        </w:rPr>
        <w:t>第四章      货币资金管理... 4</w:t>
      </w:r>
      <w:r>
        <w:rPr>
          <w:color w:val="000000"/>
          <w:kern w:val="0"/>
          <w:sz w:val="28"/>
          <w:szCs w:val="28"/>
          <w:u w:val="single"/>
        </w:rPr>
        <w:fldChar w:fldCharType="end"/>
      </w:r>
    </w:p>
    <w:p>
      <w:pPr>
        <w:widowControl/>
        <w:spacing w:line="460" w:lineRule="atLeast"/>
        <w:jc w:val="center"/>
        <w:rPr>
          <w:color w:val="2B2B2B"/>
          <w:kern w:val="0"/>
          <w:sz w:val="28"/>
          <w:szCs w:val="28"/>
        </w:rPr>
      </w:pPr>
      <w:r>
        <w:rPr>
          <w:sz w:val="28"/>
          <w:szCs w:val="28"/>
        </w:rPr>
        <w:fldChar w:fldCharType="begin"/>
      </w:r>
      <w:r>
        <w:rPr>
          <w:sz w:val="28"/>
          <w:szCs w:val="28"/>
        </w:rPr>
        <w:instrText xml:space="preserve"> HYPERLINK "http://www.cfpa.org.cn/article/article_toCreate.action" \l "_Toc332803880" </w:instrText>
      </w:r>
      <w:r>
        <w:rPr>
          <w:sz w:val="28"/>
          <w:szCs w:val="28"/>
        </w:rPr>
        <w:fldChar w:fldCharType="separate"/>
      </w:r>
      <w:r>
        <w:rPr>
          <w:color w:val="000000"/>
          <w:kern w:val="0"/>
          <w:sz w:val="28"/>
          <w:szCs w:val="28"/>
          <w:u w:val="single"/>
        </w:rPr>
        <w:t>第五章      实物资产管理... 5</w:t>
      </w:r>
      <w:r>
        <w:rPr>
          <w:color w:val="000000"/>
          <w:kern w:val="0"/>
          <w:sz w:val="28"/>
          <w:szCs w:val="28"/>
          <w:u w:val="single"/>
        </w:rPr>
        <w:fldChar w:fldCharType="end"/>
      </w:r>
    </w:p>
    <w:p>
      <w:pPr>
        <w:widowControl/>
        <w:spacing w:line="460" w:lineRule="atLeast"/>
        <w:jc w:val="center"/>
        <w:rPr>
          <w:color w:val="2B2B2B"/>
          <w:kern w:val="0"/>
          <w:sz w:val="28"/>
          <w:szCs w:val="28"/>
        </w:rPr>
      </w:pPr>
      <w:r>
        <w:rPr>
          <w:sz w:val="28"/>
          <w:szCs w:val="28"/>
        </w:rPr>
        <w:fldChar w:fldCharType="begin"/>
      </w:r>
      <w:r>
        <w:rPr>
          <w:sz w:val="28"/>
          <w:szCs w:val="28"/>
        </w:rPr>
        <w:instrText xml:space="preserve"> HYPERLINK "http://www.cfpa.org.cn/article/article_toCreate.action" \l "_Toc332803881" </w:instrText>
      </w:r>
      <w:r>
        <w:rPr>
          <w:sz w:val="28"/>
          <w:szCs w:val="28"/>
        </w:rPr>
        <w:fldChar w:fldCharType="separate"/>
      </w:r>
      <w:r>
        <w:rPr>
          <w:color w:val="000000"/>
          <w:kern w:val="0"/>
          <w:sz w:val="28"/>
          <w:szCs w:val="28"/>
          <w:u w:val="single"/>
        </w:rPr>
        <w:t>第六章      资产保值增值... 5</w:t>
      </w:r>
      <w:r>
        <w:rPr>
          <w:color w:val="000000"/>
          <w:kern w:val="0"/>
          <w:sz w:val="28"/>
          <w:szCs w:val="28"/>
          <w:u w:val="single"/>
        </w:rPr>
        <w:fldChar w:fldCharType="end"/>
      </w:r>
    </w:p>
    <w:p>
      <w:pPr>
        <w:widowControl/>
        <w:spacing w:line="460" w:lineRule="atLeast"/>
        <w:jc w:val="center"/>
        <w:rPr>
          <w:color w:val="2B2B2B"/>
          <w:kern w:val="0"/>
          <w:sz w:val="28"/>
          <w:szCs w:val="28"/>
        </w:rPr>
      </w:pPr>
      <w:r>
        <w:rPr>
          <w:sz w:val="28"/>
          <w:szCs w:val="28"/>
        </w:rPr>
        <w:fldChar w:fldCharType="begin"/>
      </w:r>
      <w:r>
        <w:rPr>
          <w:sz w:val="28"/>
          <w:szCs w:val="28"/>
        </w:rPr>
        <w:instrText xml:space="preserve"> HYPERLINK "http://www.cfpa.org.cn/article/article_toCreate.action" \l "_Toc332803882" </w:instrText>
      </w:r>
      <w:r>
        <w:rPr>
          <w:sz w:val="28"/>
          <w:szCs w:val="28"/>
        </w:rPr>
        <w:fldChar w:fldCharType="separate"/>
      </w:r>
      <w:r>
        <w:rPr>
          <w:color w:val="000000"/>
          <w:kern w:val="0"/>
          <w:sz w:val="28"/>
          <w:szCs w:val="28"/>
          <w:u w:val="single"/>
        </w:rPr>
        <w:t>第七章      收入管理... 5</w:t>
      </w:r>
      <w:r>
        <w:rPr>
          <w:color w:val="000000"/>
          <w:kern w:val="0"/>
          <w:sz w:val="28"/>
          <w:szCs w:val="28"/>
          <w:u w:val="single"/>
        </w:rPr>
        <w:fldChar w:fldCharType="end"/>
      </w:r>
    </w:p>
    <w:p>
      <w:pPr>
        <w:widowControl/>
        <w:spacing w:line="460" w:lineRule="atLeast"/>
        <w:jc w:val="center"/>
        <w:rPr>
          <w:color w:val="2B2B2B"/>
          <w:kern w:val="0"/>
          <w:sz w:val="28"/>
          <w:szCs w:val="28"/>
        </w:rPr>
      </w:pPr>
      <w:r>
        <w:rPr>
          <w:sz w:val="28"/>
          <w:szCs w:val="28"/>
        </w:rPr>
        <w:fldChar w:fldCharType="begin"/>
      </w:r>
      <w:r>
        <w:rPr>
          <w:sz w:val="28"/>
          <w:szCs w:val="28"/>
        </w:rPr>
        <w:instrText xml:space="preserve"> HYPERLINK "http://www.cfpa.org.cn/article/article_toCreate.action" \l "_Toc332803883" </w:instrText>
      </w:r>
      <w:r>
        <w:rPr>
          <w:sz w:val="28"/>
          <w:szCs w:val="28"/>
        </w:rPr>
        <w:fldChar w:fldCharType="separate"/>
      </w:r>
      <w:r>
        <w:rPr>
          <w:color w:val="000000"/>
          <w:kern w:val="0"/>
          <w:sz w:val="28"/>
          <w:szCs w:val="28"/>
          <w:u w:val="single"/>
        </w:rPr>
        <w:t>第八章      费用管理... 6</w:t>
      </w:r>
      <w:r>
        <w:rPr>
          <w:color w:val="000000"/>
          <w:kern w:val="0"/>
          <w:sz w:val="28"/>
          <w:szCs w:val="28"/>
          <w:u w:val="single"/>
        </w:rPr>
        <w:fldChar w:fldCharType="end"/>
      </w:r>
    </w:p>
    <w:p>
      <w:pPr>
        <w:widowControl/>
        <w:spacing w:line="460" w:lineRule="atLeast"/>
        <w:jc w:val="center"/>
        <w:rPr>
          <w:color w:val="2B2B2B"/>
          <w:kern w:val="0"/>
          <w:sz w:val="28"/>
          <w:szCs w:val="28"/>
        </w:rPr>
      </w:pPr>
      <w:r>
        <w:rPr>
          <w:sz w:val="28"/>
          <w:szCs w:val="28"/>
        </w:rPr>
        <w:fldChar w:fldCharType="begin"/>
      </w:r>
      <w:r>
        <w:rPr>
          <w:sz w:val="28"/>
          <w:szCs w:val="28"/>
        </w:rPr>
        <w:instrText xml:space="preserve"> HYPERLINK "http://www.cfpa.org.cn/article/article_toCreate.action" \l "_Toc332803884" </w:instrText>
      </w:r>
      <w:r>
        <w:rPr>
          <w:sz w:val="28"/>
          <w:szCs w:val="28"/>
        </w:rPr>
        <w:fldChar w:fldCharType="separate"/>
      </w:r>
      <w:r>
        <w:rPr>
          <w:color w:val="000000"/>
          <w:kern w:val="0"/>
          <w:sz w:val="28"/>
          <w:szCs w:val="28"/>
          <w:u w:val="single"/>
        </w:rPr>
        <w:t>第九章      财务核算与分析... 7</w:t>
      </w:r>
      <w:r>
        <w:rPr>
          <w:color w:val="000000"/>
          <w:kern w:val="0"/>
          <w:sz w:val="28"/>
          <w:szCs w:val="28"/>
          <w:u w:val="single"/>
        </w:rPr>
        <w:fldChar w:fldCharType="end"/>
      </w:r>
    </w:p>
    <w:p>
      <w:pPr>
        <w:widowControl/>
        <w:spacing w:line="460" w:lineRule="atLeast"/>
        <w:jc w:val="center"/>
        <w:rPr>
          <w:color w:val="2B2B2B"/>
          <w:kern w:val="0"/>
          <w:sz w:val="28"/>
          <w:szCs w:val="28"/>
        </w:rPr>
      </w:pPr>
      <w:r>
        <w:rPr>
          <w:sz w:val="28"/>
          <w:szCs w:val="28"/>
        </w:rPr>
        <w:fldChar w:fldCharType="begin"/>
      </w:r>
      <w:r>
        <w:rPr>
          <w:sz w:val="28"/>
          <w:szCs w:val="28"/>
        </w:rPr>
        <w:instrText xml:space="preserve"> HYPERLINK "http://www.cfpa.org.cn/article/article_toCreate.action" \l "_Toc332803885" </w:instrText>
      </w:r>
      <w:r>
        <w:rPr>
          <w:sz w:val="28"/>
          <w:szCs w:val="28"/>
        </w:rPr>
        <w:fldChar w:fldCharType="separate"/>
      </w:r>
      <w:r>
        <w:rPr>
          <w:color w:val="000000"/>
          <w:kern w:val="0"/>
          <w:sz w:val="28"/>
          <w:szCs w:val="28"/>
          <w:u w:val="single"/>
        </w:rPr>
        <w:t>第十章      内部会计控制与财务监督... 8</w:t>
      </w:r>
      <w:r>
        <w:rPr>
          <w:color w:val="000000"/>
          <w:kern w:val="0"/>
          <w:sz w:val="28"/>
          <w:szCs w:val="28"/>
          <w:u w:val="single"/>
        </w:rPr>
        <w:fldChar w:fldCharType="end"/>
      </w:r>
    </w:p>
    <w:p>
      <w:pPr>
        <w:widowControl/>
        <w:spacing w:line="460" w:lineRule="atLeast"/>
        <w:jc w:val="center"/>
        <w:rPr>
          <w:color w:val="2B2B2B"/>
          <w:kern w:val="0"/>
          <w:sz w:val="28"/>
          <w:szCs w:val="28"/>
        </w:rPr>
      </w:pPr>
      <w:r>
        <w:rPr>
          <w:sz w:val="28"/>
          <w:szCs w:val="28"/>
        </w:rPr>
        <w:fldChar w:fldCharType="begin"/>
      </w:r>
      <w:r>
        <w:rPr>
          <w:sz w:val="28"/>
          <w:szCs w:val="28"/>
        </w:rPr>
        <w:instrText xml:space="preserve"> HYPERLINK "http://www.cfpa.org.cn/article/article_toCreate.action" \l "_Toc332803886" </w:instrText>
      </w:r>
      <w:r>
        <w:rPr>
          <w:sz w:val="28"/>
          <w:szCs w:val="28"/>
        </w:rPr>
        <w:fldChar w:fldCharType="separate"/>
      </w:r>
      <w:r>
        <w:rPr>
          <w:color w:val="000000"/>
          <w:kern w:val="0"/>
          <w:sz w:val="28"/>
          <w:szCs w:val="28"/>
          <w:u w:val="single"/>
        </w:rPr>
        <w:t>第十一章  财务信息披露... 10</w:t>
      </w:r>
      <w:r>
        <w:rPr>
          <w:color w:val="000000"/>
          <w:kern w:val="0"/>
          <w:sz w:val="28"/>
          <w:szCs w:val="28"/>
          <w:u w:val="single"/>
        </w:rPr>
        <w:fldChar w:fldCharType="end"/>
      </w:r>
    </w:p>
    <w:p>
      <w:pPr>
        <w:widowControl/>
        <w:spacing w:line="460" w:lineRule="atLeast"/>
        <w:jc w:val="center"/>
        <w:rPr>
          <w:color w:val="2B2B2B"/>
          <w:kern w:val="0"/>
          <w:sz w:val="28"/>
          <w:szCs w:val="28"/>
        </w:rPr>
      </w:pPr>
      <w:r>
        <w:rPr>
          <w:sz w:val="28"/>
          <w:szCs w:val="28"/>
        </w:rPr>
        <w:fldChar w:fldCharType="begin"/>
      </w:r>
      <w:r>
        <w:rPr>
          <w:sz w:val="28"/>
          <w:szCs w:val="28"/>
        </w:rPr>
        <w:instrText xml:space="preserve"> HYPERLINK "http://www.cfpa.org.cn/article/article_toCreate.action" \l "_Toc332803887" </w:instrText>
      </w:r>
      <w:r>
        <w:rPr>
          <w:sz w:val="28"/>
          <w:szCs w:val="28"/>
        </w:rPr>
        <w:fldChar w:fldCharType="separate"/>
      </w:r>
      <w:r>
        <w:rPr>
          <w:color w:val="000000"/>
          <w:kern w:val="0"/>
          <w:sz w:val="28"/>
          <w:szCs w:val="28"/>
          <w:u w:val="single"/>
        </w:rPr>
        <w:t>第十二章  附则... 10</w:t>
      </w:r>
      <w:r>
        <w:rPr>
          <w:color w:val="000000"/>
          <w:kern w:val="0"/>
          <w:sz w:val="28"/>
          <w:szCs w:val="28"/>
          <w:u w:val="single"/>
        </w:rPr>
        <w:fldChar w:fldCharType="end"/>
      </w:r>
    </w:p>
    <w:p>
      <w:pPr>
        <w:widowControl/>
        <w:spacing w:line="460" w:lineRule="atLeast"/>
        <w:jc w:val="center"/>
        <w:rPr>
          <w:color w:val="2B2B2B"/>
          <w:kern w:val="0"/>
          <w:szCs w:val="21"/>
        </w:rPr>
      </w:pPr>
    </w:p>
    <w:p>
      <w:pPr>
        <w:widowControl/>
        <w:spacing w:line="460" w:lineRule="atLeast"/>
        <w:jc w:val="left"/>
        <w:rPr>
          <w:color w:val="2B2B2B"/>
          <w:kern w:val="0"/>
          <w:szCs w:val="21"/>
        </w:rPr>
      </w:pPr>
      <w:r>
        <w:rPr>
          <w:color w:val="2B2B2B"/>
          <w:kern w:val="0"/>
          <w:szCs w:val="21"/>
        </w:rPr>
        <w:br w:type="textWrapping" w:clear="all"/>
      </w:r>
      <w:r>
        <w:rPr>
          <w:color w:val="2B2B2B"/>
          <w:kern w:val="0"/>
          <w:szCs w:val="21"/>
        </w:rPr>
        <w:t> </w:t>
      </w:r>
    </w:p>
    <w:p>
      <w:pPr>
        <w:widowControl/>
        <w:spacing w:line="460" w:lineRule="atLeast"/>
        <w:jc w:val="left"/>
        <w:rPr>
          <w:color w:val="2B2B2B"/>
          <w:kern w:val="0"/>
          <w:szCs w:val="21"/>
        </w:rPr>
      </w:pPr>
    </w:p>
    <w:p>
      <w:pPr>
        <w:widowControl/>
        <w:spacing w:line="460" w:lineRule="atLeast"/>
        <w:jc w:val="left"/>
        <w:rPr>
          <w:color w:val="2B2B2B"/>
          <w:kern w:val="0"/>
          <w:szCs w:val="21"/>
        </w:rPr>
      </w:pPr>
    </w:p>
    <w:p>
      <w:pPr>
        <w:widowControl/>
        <w:spacing w:line="460" w:lineRule="atLeast"/>
        <w:jc w:val="left"/>
        <w:rPr>
          <w:color w:val="2B2B2B"/>
          <w:kern w:val="0"/>
          <w:szCs w:val="21"/>
        </w:rPr>
      </w:pPr>
    </w:p>
    <w:p>
      <w:pPr>
        <w:widowControl/>
        <w:spacing w:line="460" w:lineRule="atLeast"/>
        <w:jc w:val="left"/>
        <w:rPr>
          <w:color w:val="2B2B2B"/>
          <w:kern w:val="0"/>
          <w:szCs w:val="21"/>
        </w:rPr>
      </w:pPr>
    </w:p>
    <w:p>
      <w:pPr>
        <w:widowControl/>
        <w:spacing w:line="460" w:lineRule="atLeast"/>
        <w:jc w:val="left"/>
        <w:rPr>
          <w:color w:val="2B2B2B"/>
          <w:kern w:val="0"/>
          <w:szCs w:val="21"/>
        </w:rPr>
      </w:pPr>
    </w:p>
    <w:p>
      <w:pPr>
        <w:widowControl/>
        <w:spacing w:line="460" w:lineRule="atLeast"/>
        <w:jc w:val="center"/>
        <w:outlineLvl w:val="0"/>
        <w:rPr>
          <w:b/>
          <w:bCs/>
          <w:color w:val="2B2B2B"/>
          <w:kern w:val="36"/>
          <w:sz w:val="48"/>
          <w:szCs w:val="48"/>
        </w:rPr>
      </w:pPr>
      <w:r>
        <w:rPr>
          <w:b/>
          <w:bCs/>
          <w:color w:val="2B2B2B"/>
          <w:kern w:val="36"/>
          <w:sz w:val="18"/>
          <w:szCs w:val="18"/>
        </w:rPr>
        <w:t>第一章 总则</w:t>
      </w:r>
    </w:p>
    <w:p>
      <w:pPr>
        <w:widowControl/>
        <w:numPr>
          <w:ilvl w:val="0"/>
          <w:numId w:val="1"/>
        </w:numPr>
        <w:spacing w:line="460" w:lineRule="atLeast"/>
        <w:ind w:left="0"/>
        <w:jc w:val="left"/>
        <w:rPr>
          <w:color w:val="2B2B2B"/>
          <w:kern w:val="0"/>
          <w:szCs w:val="21"/>
        </w:rPr>
      </w:pPr>
      <w:r>
        <w:rPr>
          <w:color w:val="2B2B2B"/>
          <w:kern w:val="0"/>
          <w:szCs w:val="21"/>
        </w:rPr>
        <w:t> 为了建立、健全</w:t>
      </w:r>
      <w:r>
        <w:rPr>
          <w:rFonts w:hint="eastAsia"/>
          <w:color w:val="2B2B2B"/>
          <w:kern w:val="0"/>
          <w:szCs w:val="21"/>
          <w:lang w:eastAsia="zh-CN"/>
        </w:rPr>
        <w:t>北京万和公益基金会</w:t>
      </w:r>
      <w:r>
        <w:rPr>
          <w:color w:val="2B2B2B"/>
          <w:kern w:val="0"/>
          <w:szCs w:val="21"/>
        </w:rPr>
        <w:t>（简称基金会）的财务管理制度，规范财务工作，加强财务管理，提高基金会的资金使用效益和财务管理水平，保证基金会扶贫事业健康发展，为基金会决策提供真实、准确、及时、完整的财务会计资料，根据《基金会管理条例》、《会计法》、《民间非营利组织会计制度》等国家法律、法规，结合本基金会的宗旨、章程，制定本财务管理条例。</w:t>
      </w:r>
    </w:p>
    <w:p>
      <w:pPr>
        <w:widowControl/>
        <w:numPr>
          <w:ilvl w:val="0"/>
          <w:numId w:val="1"/>
        </w:numPr>
        <w:spacing w:line="460" w:lineRule="atLeast"/>
        <w:ind w:left="0"/>
        <w:jc w:val="left"/>
        <w:rPr>
          <w:color w:val="2B2B2B"/>
          <w:kern w:val="0"/>
          <w:szCs w:val="21"/>
        </w:rPr>
      </w:pPr>
      <w:r>
        <w:rPr>
          <w:color w:val="2B2B2B"/>
          <w:kern w:val="0"/>
          <w:szCs w:val="21"/>
        </w:rPr>
        <w:t>基金会财务管理的主要任务是：建立健全财务制度，维护机构财产安全；对基金会的经济活动进行管理、控制和监督，合理编制预算并严格执行；如实反映基金会的财务状况，加强财务核算，开展财务分析，参与机构经济决策，规范财务信息披露；按照合法、安全、有效的原则实现基金的保值、增值，且资金的的使用符合组织的章程使命及捐赠者的意向。</w:t>
      </w:r>
    </w:p>
    <w:p>
      <w:pPr>
        <w:widowControl/>
        <w:numPr>
          <w:ilvl w:val="0"/>
          <w:numId w:val="1"/>
        </w:numPr>
        <w:spacing w:line="460" w:lineRule="atLeast"/>
        <w:ind w:left="0"/>
        <w:jc w:val="left"/>
        <w:rPr>
          <w:color w:val="2B2B2B"/>
          <w:kern w:val="0"/>
          <w:szCs w:val="21"/>
        </w:rPr>
      </w:pPr>
      <w:r>
        <w:rPr>
          <w:color w:val="2B2B2B"/>
          <w:kern w:val="0"/>
          <w:szCs w:val="21"/>
        </w:rPr>
        <w:t>基金会理事会定期审议机构财务工作报告，并决定财务工作中的重大问题，财务日常管理工作由秘书处负责。</w:t>
      </w:r>
    </w:p>
    <w:p>
      <w:pPr>
        <w:widowControl/>
        <w:numPr>
          <w:ilvl w:val="0"/>
          <w:numId w:val="1"/>
        </w:numPr>
        <w:spacing w:line="460" w:lineRule="atLeast"/>
        <w:ind w:left="0"/>
        <w:jc w:val="left"/>
        <w:rPr>
          <w:color w:val="2B2B2B"/>
          <w:kern w:val="0"/>
          <w:szCs w:val="21"/>
        </w:rPr>
      </w:pPr>
      <w:r>
        <w:rPr>
          <w:color w:val="2B2B2B"/>
          <w:kern w:val="0"/>
          <w:szCs w:val="21"/>
        </w:rPr>
        <w:t>基金会的财务活动依法接受国家有关管理部门和社会公众的监督，接收国家审计部门、独立会计事务所对年度财务报表审计及重大项目的专项审计。基金会理事会换届、法定代表人离任之前，应当进行离任财务审计。</w:t>
      </w:r>
    </w:p>
    <w:p>
      <w:pPr>
        <w:widowControl/>
        <w:spacing w:line="460" w:lineRule="atLeast"/>
        <w:jc w:val="center"/>
        <w:outlineLvl w:val="0"/>
        <w:rPr>
          <w:b/>
          <w:bCs/>
          <w:color w:val="2B2B2B"/>
          <w:kern w:val="36"/>
          <w:sz w:val="48"/>
          <w:szCs w:val="48"/>
        </w:rPr>
      </w:pPr>
      <w:r>
        <w:rPr>
          <w:b/>
          <w:bCs/>
          <w:color w:val="2B2B2B"/>
          <w:kern w:val="36"/>
          <w:sz w:val="18"/>
          <w:szCs w:val="18"/>
        </w:rPr>
        <w:t>第二章 机构设置及职能</w:t>
      </w:r>
    </w:p>
    <w:p>
      <w:pPr>
        <w:widowControl/>
        <w:numPr>
          <w:ilvl w:val="0"/>
          <w:numId w:val="2"/>
        </w:numPr>
        <w:spacing w:line="460" w:lineRule="atLeast"/>
        <w:ind w:left="0"/>
        <w:jc w:val="left"/>
        <w:rPr>
          <w:color w:val="2B2B2B"/>
          <w:kern w:val="0"/>
          <w:szCs w:val="21"/>
        </w:rPr>
      </w:pPr>
      <w:r>
        <w:rPr>
          <w:color w:val="2B2B2B"/>
          <w:kern w:val="0"/>
          <w:szCs w:val="21"/>
        </w:rPr>
        <w:t>基金会的财务管理实行统一领导、归口管理的原则，在秘书处的领导下，设计划财务部管理各项财务活动。</w:t>
      </w:r>
    </w:p>
    <w:p>
      <w:pPr>
        <w:widowControl/>
        <w:numPr>
          <w:ilvl w:val="0"/>
          <w:numId w:val="2"/>
        </w:numPr>
        <w:spacing w:line="460" w:lineRule="atLeast"/>
        <w:ind w:left="0"/>
        <w:jc w:val="left"/>
        <w:rPr>
          <w:color w:val="2B2B2B"/>
          <w:kern w:val="0"/>
          <w:szCs w:val="21"/>
        </w:rPr>
      </w:pPr>
      <w:r>
        <w:rPr>
          <w:color w:val="2B2B2B"/>
          <w:kern w:val="0"/>
          <w:szCs w:val="21"/>
        </w:rPr>
        <w:t>计划财务部的职能：</w:t>
      </w:r>
    </w:p>
    <w:p>
      <w:pPr>
        <w:widowControl/>
        <w:spacing w:line="460" w:lineRule="atLeast"/>
        <w:jc w:val="left"/>
        <w:rPr>
          <w:color w:val="2B2B2B"/>
          <w:kern w:val="0"/>
          <w:szCs w:val="21"/>
        </w:rPr>
      </w:pPr>
      <w:r>
        <w:rPr>
          <w:color w:val="2B2B2B"/>
          <w:kern w:val="0"/>
          <w:szCs w:val="21"/>
        </w:rPr>
        <w:t>1．组织拟订基金会财务管理制度，负责在理事会授权范围内执行基金会财务管理制度，并对其执行情况进行监督。</w:t>
      </w:r>
    </w:p>
    <w:p>
      <w:pPr>
        <w:widowControl/>
        <w:spacing w:line="460" w:lineRule="atLeast"/>
        <w:jc w:val="left"/>
        <w:rPr>
          <w:color w:val="2B2B2B"/>
          <w:kern w:val="0"/>
          <w:szCs w:val="21"/>
        </w:rPr>
      </w:pPr>
      <w:r>
        <w:rPr>
          <w:color w:val="2B2B2B"/>
          <w:kern w:val="0"/>
          <w:szCs w:val="21"/>
        </w:rPr>
        <w:t>2．制订基金会会计核算原则及程序，组织基金会会计核算工作。</w:t>
      </w:r>
    </w:p>
    <w:p>
      <w:pPr>
        <w:widowControl/>
        <w:spacing w:line="460" w:lineRule="atLeast"/>
        <w:jc w:val="left"/>
        <w:rPr>
          <w:color w:val="2B2B2B"/>
          <w:kern w:val="0"/>
          <w:szCs w:val="21"/>
        </w:rPr>
      </w:pPr>
      <w:r>
        <w:rPr>
          <w:color w:val="2B2B2B"/>
          <w:kern w:val="0"/>
          <w:szCs w:val="21"/>
        </w:rPr>
        <w:t>3．根据基金会年度工作计划编制年度财务计划和资金计划，负责在秘书长办公会和理事会审批后组织实施。</w:t>
      </w:r>
    </w:p>
    <w:p>
      <w:pPr>
        <w:widowControl/>
        <w:spacing w:line="460" w:lineRule="atLeast"/>
        <w:jc w:val="left"/>
        <w:rPr>
          <w:color w:val="2B2B2B"/>
          <w:kern w:val="0"/>
          <w:szCs w:val="21"/>
        </w:rPr>
      </w:pPr>
      <w:r>
        <w:rPr>
          <w:color w:val="2B2B2B"/>
          <w:kern w:val="0"/>
          <w:szCs w:val="21"/>
        </w:rPr>
        <w:t>4．负责基金会财务预决算管理。</w:t>
      </w:r>
    </w:p>
    <w:p>
      <w:pPr>
        <w:widowControl/>
        <w:spacing w:line="460" w:lineRule="atLeast"/>
        <w:jc w:val="left"/>
        <w:rPr>
          <w:color w:val="2B2B2B"/>
          <w:kern w:val="0"/>
          <w:szCs w:val="21"/>
        </w:rPr>
      </w:pPr>
      <w:r>
        <w:rPr>
          <w:color w:val="2B2B2B"/>
          <w:kern w:val="0"/>
          <w:szCs w:val="21"/>
        </w:rPr>
        <w:t>5．负责基金会投资项目的财务论证。</w:t>
      </w:r>
    </w:p>
    <w:p>
      <w:pPr>
        <w:widowControl/>
        <w:spacing w:line="460" w:lineRule="atLeast"/>
        <w:jc w:val="left"/>
        <w:rPr>
          <w:color w:val="2B2B2B"/>
          <w:kern w:val="0"/>
          <w:szCs w:val="21"/>
        </w:rPr>
      </w:pPr>
      <w:r>
        <w:rPr>
          <w:color w:val="2B2B2B"/>
          <w:kern w:val="0"/>
          <w:szCs w:val="21"/>
        </w:rPr>
        <w:t>6．组织开展基金会的基金运作工作，制定基金会资金运作计划，加强对基金会现金流的管理。</w:t>
      </w:r>
    </w:p>
    <w:p>
      <w:pPr>
        <w:widowControl/>
        <w:spacing w:line="460" w:lineRule="atLeast"/>
        <w:jc w:val="left"/>
        <w:rPr>
          <w:color w:val="2B2B2B"/>
          <w:kern w:val="0"/>
          <w:szCs w:val="21"/>
        </w:rPr>
      </w:pPr>
      <w:r>
        <w:rPr>
          <w:color w:val="2B2B2B"/>
          <w:kern w:val="0"/>
          <w:szCs w:val="21"/>
        </w:rPr>
        <w:t>7．组织制订基金会各项项目与活动的资金与财务管理制度，负责管理和监督执行情况。</w:t>
      </w:r>
    </w:p>
    <w:p>
      <w:pPr>
        <w:widowControl/>
        <w:spacing w:line="460" w:lineRule="atLeast"/>
        <w:jc w:val="left"/>
        <w:rPr>
          <w:color w:val="2B2B2B"/>
          <w:kern w:val="0"/>
          <w:szCs w:val="21"/>
        </w:rPr>
      </w:pPr>
      <w:r>
        <w:rPr>
          <w:color w:val="2B2B2B"/>
          <w:kern w:val="0"/>
          <w:szCs w:val="21"/>
        </w:rPr>
        <w:t>8．负责所属机构和项目执行机构的财务管理和检查、内部审计工作。</w:t>
      </w:r>
    </w:p>
    <w:p>
      <w:pPr>
        <w:widowControl/>
        <w:spacing w:line="460" w:lineRule="atLeast"/>
        <w:jc w:val="left"/>
        <w:rPr>
          <w:color w:val="2B2B2B"/>
          <w:kern w:val="0"/>
          <w:szCs w:val="21"/>
        </w:rPr>
      </w:pPr>
      <w:r>
        <w:rPr>
          <w:color w:val="2B2B2B"/>
          <w:kern w:val="0"/>
          <w:szCs w:val="21"/>
        </w:rPr>
        <w:t>9．负责对基金会和所属机构、项目执行机构的财务指标考核及其财务分析，对基金会重要财务指标的管理与监督。</w:t>
      </w:r>
    </w:p>
    <w:p>
      <w:pPr>
        <w:widowControl/>
        <w:spacing w:line="460" w:lineRule="atLeast"/>
        <w:jc w:val="left"/>
        <w:rPr>
          <w:color w:val="2B2B2B"/>
          <w:kern w:val="0"/>
          <w:szCs w:val="21"/>
        </w:rPr>
      </w:pPr>
      <w:r>
        <w:rPr>
          <w:color w:val="2B2B2B"/>
          <w:kern w:val="0"/>
          <w:szCs w:val="21"/>
        </w:rPr>
        <w:t>10．负责研究财务管理的及时化、准确化、信息化，负责基金会的对外财务信息披露。</w:t>
      </w:r>
    </w:p>
    <w:p>
      <w:pPr>
        <w:widowControl/>
        <w:spacing w:line="460" w:lineRule="atLeast"/>
        <w:jc w:val="left"/>
        <w:rPr>
          <w:color w:val="2B2B2B"/>
          <w:kern w:val="0"/>
          <w:szCs w:val="21"/>
        </w:rPr>
      </w:pPr>
      <w:r>
        <w:rPr>
          <w:color w:val="2B2B2B"/>
          <w:kern w:val="0"/>
          <w:szCs w:val="21"/>
        </w:rPr>
        <w:t>11. 负责基金会员工的财务培训工作。</w:t>
      </w:r>
    </w:p>
    <w:p>
      <w:pPr>
        <w:widowControl/>
        <w:numPr>
          <w:ilvl w:val="0"/>
          <w:numId w:val="3"/>
        </w:numPr>
        <w:spacing w:line="460" w:lineRule="atLeast"/>
        <w:ind w:left="0"/>
        <w:jc w:val="left"/>
        <w:rPr>
          <w:color w:val="2B2B2B"/>
          <w:kern w:val="0"/>
          <w:szCs w:val="21"/>
        </w:rPr>
      </w:pPr>
      <w:r>
        <w:rPr>
          <w:color w:val="2B2B2B"/>
          <w:kern w:val="0"/>
          <w:szCs w:val="21"/>
        </w:rPr>
        <w:t>根据章程、业务开展情况配备有专业资格的财务人员，规范财务工作流程及岗位责任，切实做好财务管理工作。</w:t>
      </w:r>
    </w:p>
    <w:p>
      <w:pPr>
        <w:widowControl/>
        <w:numPr>
          <w:ilvl w:val="0"/>
          <w:numId w:val="3"/>
        </w:numPr>
        <w:spacing w:line="460" w:lineRule="atLeast"/>
        <w:ind w:left="0"/>
        <w:jc w:val="left"/>
        <w:rPr>
          <w:color w:val="2B2B2B"/>
          <w:kern w:val="0"/>
          <w:szCs w:val="21"/>
        </w:rPr>
      </w:pPr>
      <w:r>
        <w:rPr>
          <w:color w:val="2B2B2B"/>
          <w:kern w:val="0"/>
          <w:szCs w:val="21"/>
        </w:rPr>
        <w:t>计划财务部建立内部稽核制度，设置稽核人员，负责财务稽核工作。</w:t>
      </w:r>
    </w:p>
    <w:p>
      <w:pPr>
        <w:widowControl/>
        <w:spacing w:line="460" w:lineRule="atLeast"/>
        <w:jc w:val="center"/>
        <w:outlineLvl w:val="0"/>
        <w:rPr>
          <w:b/>
          <w:bCs/>
          <w:color w:val="2B2B2B"/>
          <w:kern w:val="36"/>
          <w:sz w:val="48"/>
          <w:szCs w:val="48"/>
        </w:rPr>
      </w:pPr>
      <w:r>
        <w:rPr>
          <w:b/>
          <w:bCs/>
          <w:color w:val="2B2B2B"/>
          <w:kern w:val="36"/>
          <w:sz w:val="18"/>
          <w:szCs w:val="18"/>
        </w:rPr>
        <w:t>第三章 全面预算管理</w:t>
      </w:r>
    </w:p>
    <w:p>
      <w:pPr>
        <w:widowControl/>
        <w:numPr>
          <w:ilvl w:val="0"/>
          <w:numId w:val="4"/>
        </w:numPr>
        <w:spacing w:line="460" w:lineRule="atLeast"/>
        <w:ind w:left="0"/>
        <w:jc w:val="left"/>
        <w:rPr>
          <w:color w:val="2B2B2B"/>
          <w:kern w:val="0"/>
          <w:szCs w:val="21"/>
        </w:rPr>
      </w:pPr>
      <w:r>
        <w:rPr>
          <w:color w:val="2B2B2B"/>
          <w:kern w:val="0"/>
          <w:szCs w:val="21"/>
        </w:rPr>
        <w:t>基金会执行全员参与的全面预算管理体系：从机构的年度计划出发，将机构所有部门、人员和各项活动的收入、支出均纳入预算，实现对基金会的业务活动的控制，并作为考核目标严格贯彻、落实。</w:t>
      </w:r>
    </w:p>
    <w:p>
      <w:pPr>
        <w:widowControl/>
        <w:numPr>
          <w:ilvl w:val="0"/>
          <w:numId w:val="4"/>
        </w:numPr>
        <w:spacing w:line="460" w:lineRule="atLeast"/>
        <w:ind w:left="0"/>
        <w:jc w:val="left"/>
        <w:rPr>
          <w:color w:val="2B2B2B"/>
          <w:kern w:val="0"/>
          <w:szCs w:val="21"/>
        </w:rPr>
      </w:pPr>
      <w:r>
        <w:rPr>
          <w:color w:val="2B2B2B"/>
          <w:kern w:val="0"/>
          <w:szCs w:val="21"/>
        </w:rPr>
        <w:t>年度预算由各部门按工作计划编制，经部门预算会议讨论后交计划财务部初审、汇总后提交秘书处会议审议通过后交</w:t>
      </w:r>
      <w:r>
        <w:rPr>
          <w:rFonts w:hint="eastAsia"/>
          <w:color w:val="2B2B2B"/>
          <w:kern w:val="0"/>
          <w:szCs w:val="21"/>
          <w:lang w:eastAsia="zh-CN"/>
        </w:rPr>
        <w:t>理事长</w:t>
      </w:r>
      <w:r>
        <w:rPr>
          <w:color w:val="2B2B2B"/>
          <w:kern w:val="0"/>
          <w:szCs w:val="21"/>
        </w:rPr>
        <w:t>审议，</w:t>
      </w:r>
      <w:r>
        <w:rPr>
          <w:rFonts w:hint="eastAsia"/>
          <w:color w:val="2B2B2B"/>
          <w:kern w:val="0"/>
          <w:szCs w:val="21"/>
          <w:lang w:eastAsia="zh-CN"/>
        </w:rPr>
        <w:t>理事长</w:t>
      </w:r>
      <w:r>
        <w:rPr>
          <w:color w:val="2B2B2B"/>
          <w:kern w:val="0"/>
          <w:szCs w:val="21"/>
        </w:rPr>
        <w:t>审议通过后的报理事会审批后正式执行。</w:t>
      </w:r>
    </w:p>
    <w:p>
      <w:pPr>
        <w:widowControl/>
        <w:numPr>
          <w:ilvl w:val="0"/>
          <w:numId w:val="4"/>
        </w:numPr>
        <w:spacing w:line="460" w:lineRule="atLeast"/>
        <w:ind w:left="0"/>
        <w:jc w:val="left"/>
        <w:rPr>
          <w:color w:val="2B2B2B"/>
          <w:kern w:val="0"/>
          <w:szCs w:val="21"/>
        </w:rPr>
      </w:pPr>
      <w:r>
        <w:rPr>
          <w:color w:val="2B2B2B"/>
          <w:kern w:val="0"/>
          <w:szCs w:val="21"/>
        </w:rPr>
        <w:t>  预算管理由秘书处负责，在秘书长直接领导下，计划财务部作为预算管理机构，负责预算编制的初审、汇总及预算执行监督、情况分析等工作。</w:t>
      </w:r>
    </w:p>
    <w:p>
      <w:pPr>
        <w:widowControl/>
        <w:numPr>
          <w:ilvl w:val="0"/>
          <w:numId w:val="4"/>
        </w:numPr>
        <w:spacing w:line="460" w:lineRule="atLeast"/>
        <w:ind w:left="0"/>
        <w:jc w:val="left"/>
        <w:rPr>
          <w:color w:val="2B2B2B"/>
          <w:kern w:val="0"/>
          <w:szCs w:val="21"/>
        </w:rPr>
      </w:pPr>
      <w:r>
        <w:rPr>
          <w:color w:val="2B2B2B"/>
          <w:kern w:val="0"/>
          <w:szCs w:val="21"/>
        </w:rPr>
        <w:t> 年中总结时，根据半年度预算执行情况和全年机构运营形势预测，进行预算调整。调整预算经部门预算会议讨论后交计划财务部初审、汇总后提交秘书处会议审议通过后交</w:t>
      </w:r>
      <w:r>
        <w:rPr>
          <w:rFonts w:hint="eastAsia"/>
          <w:color w:val="2B2B2B"/>
          <w:kern w:val="0"/>
          <w:szCs w:val="21"/>
          <w:lang w:eastAsia="zh-CN"/>
        </w:rPr>
        <w:t>理事长</w:t>
      </w:r>
      <w:r>
        <w:rPr>
          <w:color w:val="2B2B2B"/>
          <w:kern w:val="0"/>
          <w:szCs w:val="21"/>
        </w:rPr>
        <w:t>审议，</w:t>
      </w:r>
      <w:r>
        <w:rPr>
          <w:rFonts w:hint="eastAsia"/>
          <w:color w:val="2B2B2B"/>
          <w:kern w:val="0"/>
          <w:szCs w:val="21"/>
          <w:lang w:eastAsia="zh-CN"/>
        </w:rPr>
        <w:t>理事长</w:t>
      </w:r>
      <w:r>
        <w:rPr>
          <w:color w:val="2B2B2B"/>
          <w:kern w:val="0"/>
          <w:szCs w:val="21"/>
        </w:rPr>
        <w:t>审批通过后执行。</w:t>
      </w:r>
    </w:p>
    <w:p>
      <w:pPr>
        <w:widowControl/>
        <w:numPr>
          <w:ilvl w:val="0"/>
          <w:numId w:val="4"/>
        </w:numPr>
        <w:spacing w:line="460" w:lineRule="atLeast"/>
        <w:ind w:left="0"/>
        <w:jc w:val="left"/>
        <w:rPr>
          <w:color w:val="2B2B2B"/>
          <w:kern w:val="0"/>
          <w:szCs w:val="21"/>
        </w:rPr>
      </w:pPr>
      <w:r>
        <w:rPr>
          <w:color w:val="2B2B2B"/>
          <w:kern w:val="0"/>
          <w:szCs w:val="21"/>
        </w:rPr>
        <w:t> 按月、季度、半年度、年度进行预算执行情况分析与反馈。年终决算时，对机构和各部门年度预算执行情况进行总结、反省，并纳入年度绩效考核。</w:t>
      </w:r>
    </w:p>
    <w:p>
      <w:pPr>
        <w:widowControl/>
        <w:numPr>
          <w:ilvl w:val="0"/>
          <w:numId w:val="4"/>
        </w:numPr>
        <w:spacing w:line="460" w:lineRule="atLeast"/>
        <w:ind w:left="0"/>
        <w:jc w:val="left"/>
        <w:rPr>
          <w:color w:val="2B2B2B"/>
          <w:kern w:val="0"/>
          <w:szCs w:val="21"/>
        </w:rPr>
      </w:pPr>
      <w:r>
        <w:rPr>
          <w:color w:val="2B2B2B"/>
          <w:kern w:val="0"/>
          <w:szCs w:val="21"/>
        </w:rPr>
        <w:t> 机构年度预算执行情况需报理事会审议通过。</w:t>
      </w:r>
    </w:p>
    <w:p>
      <w:pPr>
        <w:widowControl/>
        <w:spacing w:line="460" w:lineRule="atLeast"/>
        <w:jc w:val="center"/>
        <w:outlineLvl w:val="0"/>
        <w:rPr>
          <w:b/>
          <w:bCs/>
          <w:color w:val="2B2B2B"/>
          <w:kern w:val="36"/>
          <w:sz w:val="48"/>
          <w:szCs w:val="48"/>
        </w:rPr>
      </w:pPr>
      <w:r>
        <w:rPr>
          <w:b/>
          <w:bCs/>
          <w:color w:val="2B2B2B"/>
          <w:kern w:val="36"/>
          <w:sz w:val="18"/>
          <w:szCs w:val="18"/>
        </w:rPr>
        <w:t>第四章 货币资金管理</w:t>
      </w:r>
    </w:p>
    <w:p>
      <w:pPr>
        <w:widowControl/>
        <w:numPr>
          <w:ilvl w:val="0"/>
          <w:numId w:val="5"/>
        </w:numPr>
        <w:spacing w:line="460" w:lineRule="atLeast"/>
        <w:ind w:left="0"/>
        <w:jc w:val="left"/>
        <w:rPr>
          <w:color w:val="2B2B2B"/>
          <w:kern w:val="0"/>
          <w:szCs w:val="21"/>
        </w:rPr>
      </w:pPr>
      <w:r>
        <w:rPr>
          <w:color w:val="2B2B2B"/>
          <w:kern w:val="0"/>
          <w:szCs w:val="21"/>
        </w:rPr>
        <w:t>基金会货币资金包括库存现金、银行存款以及可随时转换为货币资金的有价证券。</w:t>
      </w:r>
    </w:p>
    <w:p>
      <w:pPr>
        <w:widowControl/>
        <w:numPr>
          <w:ilvl w:val="0"/>
          <w:numId w:val="5"/>
        </w:numPr>
        <w:spacing w:line="460" w:lineRule="atLeast"/>
        <w:ind w:left="0"/>
        <w:jc w:val="left"/>
        <w:rPr>
          <w:color w:val="2B2B2B"/>
          <w:kern w:val="0"/>
          <w:szCs w:val="21"/>
        </w:rPr>
      </w:pPr>
      <w:r>
        <w:rPr>
          <w:color w:val="2B2B2B"/>
          <w:kern w:val="0"/>
          <w:szCs w:val="21"/>
        </w:rPr>
        <w:t>计划财务部应做好资金的管理，保护货币资金的安全与完整；合理安排资金流，建立健全资金支付与报销的授权审批流程。</w:t>
      </w:r>
    </w:p>
    <w:p>
      <w:pPr>
        <w:widowControl/>
        <w:numPr>
          <w:ilvl w:val="0"/>
          <w:numId w:val="5"/>
        </w:numPr>
        <w:spacing w:line="460" w:lineRule="atLeast"/>
        <w:ind w:left="0"/>
        <w:jc w:val="left"/>
        <w:rPr>
          <w:color w:val="2B2B2B"/>
          <w:kern w:val="0"/>
          <w:szCs w:val="21"/>
        </w:rPr>
      </w:pPr>
      <w:r>
        <w:rPr>
          <w:color w:val="2B2B2B"/>
          <w:kern w:val="0"/>
          <w:szCs w:val="21"/>
        </w:rPr>
        <w:t>现金管理：</w:t>
      </w:r>
    </w:p>
    <w:p>
      <w:pPr>
        <w:widowControl/>
        <w:spacing w:line="460" w:lineRule="atLeast"/>
        <w:jc w:val="left"/>
        <w:rPr>
          <w:color w:val="2B2B2B"/>
          <w:kern w:val="0"/>
          <w:szCs w:val="21"/>
        </w:rPr>
      </w:pPr>
      <w:r>
        <w:rPr>
          <w:color w:val="2B2B2B"/>
          <w:kern w:val="0"/>
          <w:szCs w:val="21"/>
        </w:rPr>
        <w:t>1．库存现金不得超过规定限额。如遇到特殊情况，超过规定限额应及时向秘书长通报，做好保卫值班工作。</w:t>
      </w:r>
    </w:p>
    <w:p>
      <w:pPr>
        <w:widowControl/>
        <w:spacing w:line="460" w:lineRule="atLeast"/>
        <w:jc w:val="left"/>
        <w:rPr>
          <w:color w:val="2B2B2B"/>
          <w:kern w:val="0"/>
          <w:szCs w:val="21"/>
        </w:rPr>
      </w:pPr>
      <w:r>
        <w:rPr>
          <w:color w:val="2B2B2B"/>
          <w:kern w:val="0"/>
          <w:szCs w:val="21"/>
        </w:rPr>
        <w:t>2． 不得坐支现金，收到的现金应及时存入银行帐户，严格执行现金收支“两条线”；</w:t>
      </w:r>
    </w:p>
    <w:p>
      <w:pPr>
        <w:widowControl/>
        <w:spacing w:line="460" w:lineRule="atLeast"/>
        <w:jc w:val="left"/>
        <w:rPr>
          <w:color w:val="2B2B2B"/>
          <w:kern w:val="0"/>
          <w:szCs w:val="21"/>
        </w:rPr>
      </w:pPr>
      <w:r>
        <w:rPr>
          <w:color w:val="2B2B2B"/>
          <w:kern w:val="0"/>
          <w:szCs w:val="21"/>
        </w:rPr>
        <w:t>3． 基金会应认真做好现金的管理工作，日记帐必须做到日清月结，并保证库存现金与帐面金额相符。</w:t>
      </w:r>
    </w:p>
    <w:p>
      <w:pPr>
        <w:widowControl/>
        <w:spacing w:line="460" w:lineRule="atLeast"/>
        <w:jc w:val="left"/>
        <w:rPr>
          <w:color w:val="2B2B2B"/>
          <w:kern w:val="0"/>
          <w:szCs w:val="21"/>
        </w:rPr>
      </w:pPr>
      <w:r>
        <w:rPr>
          <w:color w:val="2B2B2B"/>
          <w:kern w:val="0"/>
          <w:szCs w:val="21"/>
        </w:rPr>
        <w:t>4.  出纳应定期（每月、季、年末）、不定期的对现金进行盘点，编制现金盘点表，财务机构负责人（或授权的会计）应对现金盘点进行监盘和不定期的抽盘，确保现金账面余额与实际库存相符。如发现不符，应及时查明原因并作出处理。</w:t>
      </w:r>
    </w:p>
    <w:p>
      <w:pPr>
        <w:widowControl/>
        <w:numPr>
          <w:ilvl w:val="0"/>
          <w:numId w:val="6"/>
        </w:numPr>
        <w:spacing w:line="460" w:lineRule="atLeast"/>
        <w:ind w:left="0"/>
        <w:jc w:val="left"/>
        <w:rPr>
          <w:color w:val="2B2B2B"/>
          <w:kern w:val="0"/>
          <w:szCs w:val="21"/>
        </w:rPr>
      </w:pPr>
      <w:r>
        <w:rPr>
          <w:color w:val="2B2B2B"/>
          <w:kern w:val="0"/>
          <w:szCs w:val="21"/>
        </w:rPr>
        <w:t> 银行存款管理：</w:t>
      </w:r>
    </w:p>
    <w:p>
      <w:pPr>
        <w:widowControl/>
        <w:numPr>
          <w:ilvl w:val="0"/>
          <w:numId w:val="7"/>
        </w:numPr>
        <w:spacing w:line="460" w:lineRule="atLeast"/>
        <w:ind w:left="0"/>
        <w:jc w:val="left"/>
        <w:rPr>
          <w:color w:val="2B2B2B"/>
          <w:kern w:val="0"/>
          <w:szCs w:val="21"/>
        </w:rPr>
      </w:pPr>
      <w:r>
        <w:rPr>
          <w:color w:val="2B2B2B"/>
          <w:kern w:val="0"/>
          <w:szCs w:val="21"/>
        </w:rPr>
        <w:t>基金会开立基本账户用于银行收付业务。如根据业务需要，确需增开一般帐户或专用帐户，需由计划财务部提出申请报秘书长批准后方能开立。</w:t>
      </w:r>
    </w:p>
    <w:p>
      <w:pPr>
        <w:widowControl/>
        <w:numPr>
          <w:ilvl w:val="0"/>
          <w:numId w:val="7"/>
        </w:numPr>
        <w:spacing w:line="460" w:lineRule="atLeast"/>
        <w:ind w:left="0"/>
        <w:jc w:val="left"/>
        <w:rPr>
          <w:color w:val="2B2B2B"/>
          <w:kern w:val="0"/>
          <w:szCs w:val="21"/>
        </w:rPr>
      </w:pPr>
      <w:r>
        <w:rPr>
          <w:color w:val="2B2B2B"/>
          <w:kern w:val="0"/>
          <w:szCs w:val="21"/>
        </w:rPr>
        <w:t>基金会应遵照国家相关银行帐户管理的规定，不得出租、出借帐户。</w:t>
      </w:r>
    </w:p>
    <w:p>
      <w:pPr>
        <w:widowControl/>
        <w:numPr>
          <w:ilvl w:val="0"/>
          <w:numId w:val="7"/>
        </w:numPr>
        <w:spacing w:line="460" w:lineRule="atLeast"/>
        <w:ind w:left="0"/>
        <w:jc w:val="left"/>
        <w:rPr>
          <w:color w:val="2B2B2B"/>
          <w:kern w:val="0"/>
          <w:szCs w:val="21"/>
        </w:rPr>
      </w:pPr>
      <w:r>
        <w:rPr>
          <w:color w:val="2B2B2B"/>
          <w:kern w:val="0"/>
          <w:szCs w:val="21"/>
        </w:rPr>
        <w:t>基金会应认真执行《银行支付结算办法》、《票据法》等，超过结算起点金额1元的所有对公业务，应通过银行转帐进行结算。</w:t>
      </w:r>
    </w:p>
    <w:p>
      <w:pPr>
        <w:widowControl/>
        <w:numPr>
          <w:ilvl w:val="0"/>
          <w:numId w:val="7"/>
        </w:numPr>
        <w:spacing w:line="460" w:lineRule="atLeast"/>
        <w:ind w:left="0"/>
        <w:jc w:val="left"/>
        <w:rPr>
          <w:color w:val="2B2B2B"/>
          <w:kern w:val="0"/>
          <w:szCs w:val="21"/>
        </w:rPr>
      </w:pPr>
      <w:r>
        <w:rPr>
          <w:color w:val="2B2B2B"/>
          <w:kern w:val="0"/>
          <w:szCs w:val="21"/>
        </w:rPr>
        <w:t>收到的汇票、支票等银行收款凭单应及时送存银行，并进行帐务处理。</w:t>
      </w:r>
    </w:p>
    <w:p>
      <w:pPr>
        <w:widowControl/>
        <w:numPr>
          <w:ilvl w:val="0"/>
          <w:numId w:val="7"/>
        </w:numPr>
        <w:spacing w:line="460" w:lineRule="atLeast"/>
        <w:ind w:left="0"/>
        <w:jc w:val="left"/>
        <w:rPr>
          <w:color w:val="2B2B2B"/>
          <w:kern w:val="0"/>
          <w:szCs w:val="21"/>
        </w:rPr>
      </w:pPr>
      <w:r>
        <w:rPr>
          <w:color w:val="2B2B2B"/>
          <w:kern w:val="0"/>
          <w:szCs w:val="21"/>
        </w:rPr>
        <w:t>支票、汇票、汇兑等付款，均须登记备查簿，详细填写单据编号、收款人名称、金额、用途、借款日期、报销日期等，并由经手人签字。</w:t>
      </w:r>
    </w:p>
    <w:p>
      <w:pPr>
        <w:widowControl/>
        <w:numPr>
          <w:ilvl w:val="0"/>
          <w:numId w:val="7"/>
        </w:numPr>
        <w:spacing w:line="460" w:lineRule="atLeast"/>
        <w:ind w:left="0"/>
        <w:jc w:val="left"/>
        <w:rPr>
          <w:color w:val="2B2B2B"/>
          <w:kern w:val="0"/>
          <w:szCs w:val="21"/>
        </w:rPr>
      </w:pPr>
      <w:r>
        <w:rPr>
          <w:color w:val="2B2B2B"/>
          <w:kern w:val="0"/>
          <w:szCs w:val="21"/>
        </w:rPr>
        <w:t>出纳定期与银行核对银行存款余额，并编制银行余额调节表，会计需对银行余额调节表进行审核，对未达帐项应及时处理。</w:t>
      </w:r>
    </w:p>
    <w:p>
      <w:pPr>
        <w:widowControl/>
        <w:spacing w:line="460" w:lineRule="atLeast"/>
        <w:jc w:val="center"/>
        <w:outlineLvl w:val="0"/>
        <w:rPr>
          <w:b/>
          <w:bCs/>
          <w:color w:val="2B2B2B"/>
          <w:kern w:val="36"/>
          <w:sz w:val="48"/>
          <w:szCs w:val="48"/>
        </w:rPr>
      </w:pPr>
      <w:r>
        <w:rPr>
          <w:b/>
          <w:bCs/>
          <w:color w:val="2B2B2B"/>
          <w:kern w:val="36"/>
          <w:sz w:val="18"/>
          <w:szCs w:val="18"/>
        </w:rPr>
        <w:t>第五章 实物资产管理</w:t>
      </w:r>
    </w:p>
    <w:p>
      <w:pPr>
        <w:widowControl/>
        <w:numPr>
          <w:ilvl w:val="0"/>
          <w:numId w:val="8"/>
        </w:numPr>
        <w:spacing w:line="460" w:lineRule="atLeast"/>
        <w:ind w:left="0"/>
        <w:jc w:val="left"/>
        <w:rPr>
          <w:color w:val="2B2B2B"/>
          <w:kern w:val="0"/>
          <w:szCs w:val="21"/>
        </w:rPr>
      </w:pPr>
      <w:r>
        <w:rPr>
          <w:color w:val="2B2B2B"/>
          <w:kern w:val="0"/>
          <w:szCs w:val="21"/>
        </w:rPr>
        <w:t>  实物资产指我会拥有或控制的、能以货币计量的物资财产，包括捐赠物资、 固定资产及低值易耗品等。</w:t>
      </w:r>
    </w:p>
    <w:p>
      <w:pPr>
        <w:widowControl/>
        <w:numPr>
          <w:ilvl w:val="0"/>
          <w:numId w:val="8"/>
        </w:numPr>
        <w:spacing w:line="460" w:lineRule="atLeast"/>
        <w:ind w:left="0"/>
        <w:jc w:val="left"/>
        <w:rPr>
          <w:color w:val="2B2B2B"/>
          <w:kern w:val="0"/>
          <w:szCs w:val="21"/>
        </w:rPr>
      </w:pPr>
      <w:r>
        <w:rPr>
          <w:color w:val="2B2B2B"/>
          <w:kern w:val="0"/>
          <w:szCs w:val="21"/>
        </w:rPr>
        <w:t>  实物资产管理原则：及时建帐入帐，专人管理，财务监督、核算；处置方式合法、合规，物资使用符合机构章程，最大限度地发挥物资的使用效益。</w:t>
      </w:r>
    </w:p>
    <w:p>
      <w:pPr>
        <w:widowControl/>
        <w:numPr>
          <w:ilvl w:val="0"/>
          <w:numId w:val="8"/>
        </w:numPr>
        <w:spacing w:line="460" w:lineRule="atLeast"/>
        <w:ind w:left="0"/>
        <w:jc w:val="left"/>
        <w:rPr>
          <w:color w:val="2B2B2B"/>
          <w:kern w:val="0"/>
          <w:szCs w:val="21"/>
        </w:rPr>
      </w:pPr>
      <w:r>
        <w:rPr>
          <w:color w:val="2B2B2B"/>
          <w:kern w:val="0"/>
          <w:szCs w:val="21"/>
        </w:rPr>
        <w:t>  捐赠物资指社会各界捐赠的物资财产以及用接收捐赠的项目资金采购的捐赠物资。规范捐赠物资接收、物资采购、入库、仓储、出库及发放、会计记录等管理流程，保护捐赠物资的安全与完整。</w:t>
      </w:r>
    </w:p>
    <w:p>
      <w:pPr>
        <w:widowControl/>
        <w:numPr>
          <w:ilvl w:val="0"/>
          <w:numId w:val="8"/>
        </w:numPr>
        <w:spacing w:line="460" w:lineRule="atLeast"/>
        <w:ind w:left="0"/>
        <w:jc w:val="left"/>
        <w:rPr>
          <w:color w:val="2B2B2B"/>
          <w:kern w:val="0"/>
          <w:szCs w:val="21"/>
        </w:rPr>
      </w:pPr>
      <w:r>
        <w:rPr>
          <w:color w:val="2B2B2B"/>
          <w:kern w:val="0"/>
          <w:szCs w:val="21"/>
        </w:rPr>
        <w:t>  固定资产指为行政管理、开展业务活动而持有的，预计使用年限超过1年且单位价值在1000元以上的有形资产。固定资产分类管理、计提折旧，建立采购、验收、领发、保管、调拨、检修、盘点、处置等管理流程。</w:t>
      </w:r>
    </w:p>
    <w:p>
      <w:pPr>
        <w:widowControl/>
        <w:numPr>
          <w:ilvl w:val="0"/>
          <w:numId w:val="8"/>
        </w:numPr>
        <w:spacing w:line="460" w:lineRule="atLeast"/>
        <w:ind w:left="0"/>
        <w:jc w:val="left"/>
        <w:rPr>
          <w:color w:val="2B2B2B"/>
          <w:kern w:val="0"/>
          <w:szCs w:val="21"/>
        </w:rPr>
      </w:pPr>
      <w:r>
        <w:rPr>
          <w:color w:val="2B2B2B"/>
          <w:kern w:val="0"/>
          <w:szCs w:val="21"/>
        </w:rPr>
        <w:t>  低值易耗品是指不能作为固定资产的各种办公设备，如价值低于1000元的电子设备、日常用具等。低值易耗品取得、验收和日常管理、处置等管理方法参照固定资产的执行。低值易耗品采用一次摊销法。</w:t>
      </w:r>
    </w:p>
    <w:p>
      <w:pPr>
        <w:widowControl/>
        <w:numPr>
          <w:ilvl w:val="0"/>
          <w:numId w:val="8"/>
        </w:numPr>
        <w:spacing w:line="460" w:lineRule="atLeast"/>
        <w:ind w:left="0"/>
        <w:jc w:val="left"/>
        <w:rPr>
          <w:color w:val="2B2B2B"/>
          <w:kern w:val="0"/>
          <w:szCs w:val="21"/>
        </w:rPr>
      </w:pPr>
      <w:r>
        <w:rPr>
          <w:color w:val="2B2B2B"/>
          <w:kern w:val="0"/>
          <w:szCs w:val="21"/>
        </w:rPr>
        <w:t>  无形资产等其它资产的管理参照实物资产的管理，国家有相关规定的，按国家规定执行。</w:t>
      </w:r>
    </w:p>
    <w:p>
      <w:pPr>
        <w:widowControl/>
        <w:spacing w:line="460" w:lineRule="atLeast"/>
        <w:jc w:val="center"/>
        <w:outlineLvl w:val="0"/>
        <w:rPr>
          <w:b/>
          <w:bCs/>
          <w:color w:val="2B2B2B"/>
          <w:kern w:val="36"/>
          <w:sz w:val="48"/>
          <w:szCs w:val="48"/>
        </w:rPr>
      </w:pPr>
      <w:r>
        <w:rPr>
          <w:b/>
          <w:bCs/>
          <w:color w:val="2B2B2B"/>
          <w:kern w:val="36"/>
          <w:sz w:val="18"/>
          <w:szCs w:val="18"/>
        </w:rPr>
        <w:t>第六章 资产保值增值</w:t>
      </w:r>
    </w:p>
    <w:p>
      <w:pPr>
        <w:widowControl/>
        <w:numPr>
          <w:ilvl w:val="0"/>
          <w:numId w:val="9"/>
        </w:numPr>
        <w:spacing w:line="460" w:lineRule="atLeast"/>
        <w:ind w:left="0"/>
        <w:jc w:val="left"/>
        <w:rPr>
          <w:color w:val="2B2B2B"/>
          <w:kern w:val="0"/>
          <w:szCs w:val="21"/>
        </w:rPr>
      </w:pPr>
      <w:r>
        <w:rPr>
          <w:color w:val="2B2B2B"/>
          <w:kern w:val="0"/>
          <w:szCs w:val="21"/>
        </w:rPr>
        <w:t>基金会的资产保值增值是指通过对基金会可支配资产进行合理规划和运用，实现基金会资产保值增值的工作。</w:t>
      </w:r>
    </w:p>
    <w:p>
      <w:pPr>
        <w:widowControl/>
        <w:numPr>
          <w:ilvl w:val="0"/>
          <w:numId w:val="9"/>
        </w:numPr>
        <w:spacing w:line="460" w:lineRule="atLeast"/>
        <w:ind w:left="0"/>
        <w:jc w:val="left"/>
        <w:rPr>
          <w:color w:val="2B2B2B"/>
          <w:kern w:val="0"/>
          <w:szCs w:val="21"/>
        </w:rPr>
      </w:pPr>
      <w:r>
        <w:rPr>
          <w:color w:val="2B2B2B"/>
          <w:kern w:val="0"/>
          <w:szCs w:val="21"/>
        </w:rPr>
        <w:t>基金运作依照合法、安全、有效和谨慎性的原则，在保证资金的安全及必要的流动性前提下，努力提升资产管理水平，实现资产的保值、增值。</w:t>
      </w:r>
    </w:p>
    <w:p>
      <w:pPr>
        <w:widowControl/>
        <w:spacing w:line="460" w:lineRule="atLeast"/>
        <w:jc w:val="center"/>
        <w:outlineLvl w:val="0"/>
        <w:rPr>
          <w:b/>
          <w:bCs/>
          <w:color w:val="2B2B2B"/>
          <w:kern w:val="36"/>
          <w:sz w:val="48"/>
          <w:szCs w:val="48"/>
        </w:rPr>
      </w:pPr>
      <w:r>
        <w:rPr>
          <w:b/>
          <w:bCs/>
          <w:color w:val="2B2B2B"/>
          <w:kern w:val="36"/>
          <w:sz w:val="18"/>
          <w:szCs w:val="18"/>
        </w:rPr>
        <w:t>第七章 收入管理</w:t>
      </w:r>
    </w:p>
    <w:p>
      <w:pPr>
        <w:widowControl/>
        <w:numPr>
          <w:ilvl w:val="0"/>
          <w:numId w:val="10"/>
        </w:numPr>
        <w:spacing w:line="460" w:lineRule="atLeast"/>
        <w:ind w:left="0"/>
        <w:jc w:val="left"/>
        <w:rPr>
          <w:color w:val="2B2B2B"/>
          <w:kern w:val="0"/>
          <w:szCs w:val="21"/>
        </w:rPr>
      </w:pPr>
      <w:r>
        <w:rPr>
          <w:color w:val="2B2B2B"/>
          <w:kern w:val="0"/>
          <w:szCs w:val="21"/>
        </w:rPr>
        <w:t> 基金会收入分为捐赠收入、投资收益及其他收入，各项收入应当按是否存在限定严格划分限定性收入和非限定性收入。</w:t>
      </w:r>
    </w:p>
    <w:p>
      <w:pPr>
        <w:widowControl/>
        <w:numPr>
          <w:ilvl w:val="0"/>
          <w:numId w:val="10"/>
        </w:numPr>
        <w:spacing w:line="460" w:lineRule="atLeast"/>
        <w:ind w:left="0"/>
        <w:jc w:val="left"/>
        <w:rPr>
          <w:color w:val="2B2B2B"/>
          <w:kern w:val="0"/>
          <w:szCs w:val="21"/>
        </w:rPr>
      </w:pPr>
      <w:r>
        <w:rPr>
          <w:color w:val="2B2B2B"/>
          <w:kern w:val="0"/>
          <w:szCs w:val="21"/>
        </w:rPr>
        <w:t> 各项收入均归口由计划财务部统一管理，按收入来源及渠道建立相应的管理和核算流程，保证收入入帐的及时与完整。</w:t>
      </w:r>
    </w:p>
    <w:p>
      <w:pPr>
        <w:widowControl/>
        <w:numPr>
          <w:ilvl w:val="0"/>
          <w:numId w:val="10"/>
        </w:numPr>
        <w:spacing w:line="460" w:lineRule="atLeast"/>
        <w:ind w:left="0"/>
        <w:jc w:val="left"/>
        <w:rPr>
          <w:color w:val="2B2B2B"/>
          <w:kern w:val="0"/>
          <w:szCs w:val="21"/>
        </w:rPr>
      </w:pPr>
      <w:r>
        <w:rPr>
          <w:color w:val="2B2B2B"/>
          <w:kern w:val="0"/>
          <w:szCs w:val="21"/>
        </w:rPr>
        <w:t> 按年度工作计划依法开展募捐活动，筹集开展章程规定的公益活动的资金，所有资金纳入年度预算。</w:t>
      </w:r>
    </w:p>
    <w:p>
      <w:pPr>
        <w:widowControl/>
        <w:numPr>
          <w:ilvl w:val="0"/>
          <w:numId w:val="10"/>
        </w:numPr>
        <w:spacing w:line="460" w:lineRule="atLeast"/>
        <w:ind w:left="0"/>
        <w:jc w:val="left"/>
        <w:rPr>
          <w:color w:val="2B2B2B"/>
          <w:kern w:val="0"/>
          <w:szCs w:val="21"/>
        </w:rPr>
      </w:pPr>
      <w:r>
        <w:rPr>
          <w:color w:val="2B2B2B"/>
          <w:kern w:val="0"/>
          <w:szCs w:val="21"/>
        </w:rPr>
        <w:t>接收货币性资产捐赠，以实际到帐金额确认捐赠收入；接受非货币性资产捐赠，应当以其公允价值计算，并在完成资产的所有权转移后方能确认收入。捐赠方在向基金会捐赠时，应当提供注明捐赠非货币性资产公允价值的证明。</w:t>
      </w:r>
    </w:p>
    <w:p>
      <w:pPr>
        <w:widowControl/>
        <w:numPr>
          <w:ilvl w:val="0"/>
          <w:numId w:val="10"/>
        </w:numPr>
        <w:spacing w:line="460" w:lineRule="atLeast"/>
        <w:ind w:left="0"/>
        <w:jc w:val="left"/>
        <w:rPr>
          <w:color w:val="2B2B2B"/>
          <w:kern w:val="0"/>
          <w:szCs w:val="21"/>
        </w:rPr>
      </w:pPr>
      <w:r>
        <w:rPr>
          <w:color w:val="2B2B2B"/>
          <w:kern w:val="0"/>
          <w:szCs w:val="21"/>
        </w:rPr>
        <w:t>严格执行财政、税务有关票据使用的规定，按规定购买、使用和开具捐赠票据及其他票据，妥善保管各类票据。</w:t>
      </w:r>
    </w:p>
    <w:p>
      <w:pPr>
        <w:widowControl/>
        <w:spacing w:line="460" w:lineRule="atLeast"/>
        <w:jc w:val="center"/>
        <w:outlineLvl w:val="0"/>
        <w:rPr>
          <w:b/>
          <w:bCs/>
          <w:color w:val="2B2B2B"/>
          <w:kern w:val="36"/>
          <w:sz w:val="48"/>
          <w:szCs w:val="48"/>
        </w:rPr>
      </w:pPr>
      <w:r>
        <w:rPr>
          <w:b/>
          <w:bCs/>
          <w:color w:val="2B2B2B"/>
          <w:kern w:val="36"/>
          <w:sz w:val="18"/>
          <w:szCs w:val="18"/>
        </w:rPr>
        <w:t>第八章 费用管理</w:t>
      </w:r>
    </w:p>
    <w:p>
      <w:pPr>
        <w:widowControl/>
        <w:numPr>
          <w:ilvl w:val="0"/>
          <w:numId w:val="11"/>
        </w:numPr>
        <w:spacing w:line="460" w:lineRule="atLeast"/>
        <w:ind w:left="0"/>
        <w:jc w:val="left"/>
        <w:rPr>
          <w:color w:val="2B2B2B"/>
          <w:kern w:val="0"/>
          <w:szCs w:val="21"/>
        </w:rPr>
      </w:pPr>
      <w:r>
        <w:rPr>
          <w:color w:val="2B2B2B"/>
          <w:kern w:val="0"/>
          <w:szCs w:val="21"/>
        </w:rPr>
        <w:t>严格遵守各项财政、财务制度和财经纪律，建立健全各项支出的审批程序。各项费用支出必须贯彻厉行节约和量入为出的原则，各项资助支出和经费支出的支出范围、标准应严格执行理事会批准的年度预算。</w:t>
      </w:r>
    </w:p>
    <w:p>
      <w:pPr>
        <w:widowControl/>
        <w:numPr>
          <w:ilvl w:val="0"/>
          <w:numId w:val="11"/>
        </w:numPr>
        <w:spacing w:line="460" w:lineRule="atLeast"/>
        <w:ind w:left="0"/>
        <w:jc w:val="left"/>
        <w:rPr>
          <w:color w:val="2B2B2B"/>
          <w:kern w:val="0"/>
          <w:szCs w:val="21"/>
        </w:rPr>
      </w:pPr>
      <w:r>
        <w:rPr>
          <w:color w:val="2B2B2B"/>
          <w:kern w:val="0"/>
          <w:szCs w:val="21"/>
        </w:rPr>
        <w:t>基金会的费用按照其功能分为业务活动成本、管理费用、筹资费用及其它费用。各项费用应在实际发生时按其发生额计入当期费用。所发生的费用要履行规定的财务报销手续，报销票据要求俱全且合理合法。</w:t>
      </w:r>
    </w:p>
    <w:p>
      <w:pPr>
        <w:widowControl/>
        <w:numPr>
          <w:ilvl w:val="0"/>
          <w:numId w:val="11"/>
        </w:numPr>
        <w:spacing w:line="460" w:lineRule="atLeast"/>
        <w:ind w:left="0"/>
        <w:jc w:val="left"/>
        <w:rPr>
          <w:color w:val="2B2B2B"/>
          <w:kern w:val="0"/>
          <w:szCs w:val="21"/>
        </w:rPr>
      </w:pPr>
      <w:r>
        <w:rPr>
          <w:color w:val="2B2B2B"/>
          <w:kern w:val="0"/>
          <w:szCs w:val="21"/>
        </w:rPr>
        <w:t>业务活动成本指为了实现基金会使命及其业务活动目标，开展业务活动或者提供服务时发生的各项耗费。业务活动成本应按项目及费用性质分类进行核算和列报。</w:t>
      </w:r>
    </w:p>
    <w:p>
      <w:pPr>
        <w:widowControl/>
        <w:spacing w:line="460" w:lineRule="atLeast"/>
        <w:jc w:val="left"/>
        <w:rPr>
          <w:color w:val="2B2B2B"/>
          <w:kern w:val="0"/>
          <w:szCs w:val="21"/>
        </w:rPr>
      </w:pPr>
      <w:r>
        <w:rPr>
          <w:color w:val="2B2B2B"/>
          <w:kern w:val="0"/>
          <w:szCs w:val="21"/>
        </w:rPr>
        <w:t>开展公益项目前应制订项目的资助标准及该项目直接相关的运行成本的支付标准、列支原则、审批程序。</w:t>
      </w:r>
    </w:p>
    <w:p>
      <w:pPr>
        <w:widowControl/>
        <w:numPr>
          <w:ilvl w:val="0"/>
          <w:numId w:val="12"/>
        </w:numPr>
        <w:spacing w:line="460" w:lineRule="atLeast"/>
        <w:ind w:left="0"/>
        <w:jc w:val="left"/>
        <w:rPr>
          <w:color w:val="2B2B2B"/>
          <w:kern w:val="0"/>
          <w:szCs w:val="21"/>
        </w:rPr>
      </w:pPr>
      <w:r>
        <w:rPr>
          <w:color w:val="2B2B2B"/>
          <w:kern w:val="0"/>
          <w:szCs w:val="21"/>
        </w:rPr>
        <w:t>管理费用是指为组织和管理其业务活动所发生的各项费用。本着“节约、适度”的原则，按照经审批的本年度行政经费预算控制各项行政开支。计划财务部根据年度行政经费预算对其进行财务管理和监督，定期提供行政经费支出情况。</w:t>
      </w:r>
    </w:p>
    <w:p>
      <w:pPr>
        <w:widowControl/>
        <w:numPr>
          <w:ilvl w:val="0"/>
          <w:numId w:val="12"/>
        </w:numPr>
        <w:spacing w:line="460" w:lineRule="atLeast"/>
        <w:ind w:left="0"/>
        <w:jc w:val="left"/>
        <w:rPr>
          <w:color w:val="2B2B2B"/>
          <w:kern w:val="0"/>
          <w:szCs w:val="21"/>
        </w:rPr>
      </w:pPr>
      <w:r>
        <w:rPr>
          <w:color w:val="2B2B2B"/>
          <w:kern w:val="0"/>
          <w:szCs w:val="21"/>
        </w:rPr>
        <w:t>筹资费用指为筹集业务活动所需资金而发生的费用，包括民间非营利组织为了获得捐赠资产而发生的费用以及应当计入当期费用的借款费用、汇兑损失（减汇兑收益）等。</w:t>
      </w:r>
    </w:p>
    <w:p>
      <w:pPr>
        <w:widowControl/>
        <w:numPr>
          <w:ilvl w:val="0"/>
          <w:numId w:val="12"/>
        </w:numPr>
        <w:spacing w:line="460" w:lineRule="atLeast"/>
        <w:ind w:left="0"/>
        <w:jc w:val="left"/>
        <w:rPr>
          <w:color w:val="2B2B2B"/>
          <w:kern w:val="0"/>
          <w:szCs w:val="21"/>
        </w:rPr>
      </w:pPr>
      <w:r>
        <w:rPr>
          <w:color w:val="2B2B2B"/>
          <w:kern w:val="0"/>
          <w:szCs w:val="21"/>
        </w:rPr>
        <w:t>其他费用，是指民间非营利组织发生的、无法归属到上述业务活动成本、管理费用或者筹资费用中的费用。</w:t>
      </w:r>
    </w:p>
    <w:p>
      <w:pPr>
        <w:widowControl/>
        <w:numPr>
          <w:ilvl w:val="0"/>
          <w:numId w:val="12"/>
        </w:numPr>
        <w:spacing w:line="460" w:lineRule="atLeast"/>
        <w:ind w:left="0"/>
        <w:jc w:val="left"/>
        <w:rPr>
          <w:color w:val="2B2B2B"/>
          <w:kern w:val="0"/>
          <w:szCs w:val="21"/>
        </w:rPr>
      </w:pPr>
      <w:r>
        <w:rPr>
          <w:color w:val="2B2B2B"/>
          <w:kern w:val="0"/>
          <w:szCs w:val="21"/>
        </w:rPr>
        <w:t>严格区分行政支出与项目支出等各项费用。某些费用如果属于多项业务活动或者属于业务活动、管理活动和筹资活动等共同发生的，应当提供可靠的人力、物资、费用支出的计算依据，将这些费用按照合理的方法在各项活动及费用项中进行分配。</w:t>
      </w:r>
    </w:p>
    <w:p>
      <w:pPr>
        <w:widowControl/>
        <w:numPr>
          <w:ilvl w:val="0"/>
          <w:numId w:val="12"/>
        </w:numPr>
        <w:spacing w:line="460" w:lineRule="atLeast"/>
        <w:ind w:left="0"/>
        <w:jc w:val="left"/>
        <w:rPr>
          <w:color w:val="2B2B2B"/>
          <w:kern w:val="0"/>
          <w:szCs w:val="21"/>
        </w:rPr>
      </w:pPr>
      <w:r>
        <w:rPr>
          <w:color w:val="2B2B2B"/>
          <w:kern w:val="0"/>
          <w:szCs w:val="21"/>
        </w:rPr>
        <w:t>基金会工作人员工资福利和行政办公支出占基金会年度总支出的比例不得超过《基金会管理条例》规定的</w:t>
      </w:r>
      <w:r>
        <w:rPr>
          <w:rFonts w:hint="eastAsia"/>
          <w:color w:val="2B2B2B"/>
          <w:kern w:val="0"/>
          <w:szCs w:val="21"/>
          <w:lang w:val="en-US" w:eastAsia="zh-CN"/>
        </w:rPr>
        <w:t>1</w:t>
      </w:r>
      <w:r>
        <w:rPr>
          <w:color w:val="2B2B2B"/>
          <w:kern w:val="0"/>
          <w:szCs w:val="21"/>
        </w:rPr>
        <w:t>0%。</w:t>
      </w:r>
    </w:p>
    <w:p>
      <w:pPr>
        <w:widowControl/>
        <w:spacing w:line="460" w:lineRule="atLeast"/>
        <w:jc w:val="center"/>
        <w:outlineLvl w:val="0"/>
        <w:rPr>
          <w:b/>
          <w:bCs/>
          <w:color w:val="2B2B2B"/>
          <w:kern w:val="36"/>
          <w:sz w:val="48"/>
          <w:szCs w:val="48"/>
        </w:rPr>
      </w:pPr>
      <w:r>
        <w:rPr>
          <w:b/>
          <w:bCs/>
          <w:color w:val="2B2B2B"/>
          <w:kern w:val="36"/>
          <w:sz w:val="18"/>
          <w:szCs w:val="18"/>
        </w:rPr>
        <w:t>第九章 财务核算与分析</w:t>
      </w:r>
    </w:p>
    <w:p>
      <w:pPr>
        <w:widowControl/>
        <w:numPr>
          <w:ilvl w:val="0"/>
          <w:numId w:val="13"/>
        </w:numPr>
        <w:spacing w:line="460" w:lineRule="atLeast"/>
        <w:ind w:left="0"/>
        <w:jc w:val="left"/>
        <w:rPr>
          <w:color w:val="2B2B2B"/>
          <w:kern w:val="0"/>
          <w:szCs w:val="21"/>
        </w:rPr>
      </w:pPr>
      <w:r>
        <w:rPr>
          <w:color w:val="2B2B2B"/>
          <w:kern w:val="0"/>
          <w:szCs w:val="21"/>
        </w:rPr>
        <w:t>基金会执行《民间非营利组织会计制度》，按《会计基础工作规范》、《会计档案管理办法》等规定填制会计凭证、登记会计账簿、管理会计档案，加强内部会计监督，提高会计信息质量和管理水平。</w:t>
      </w:r>
    </w:p>
    <w:p>
      <w:pPr>
        <w:widowControl/>
        <w:numPr>
          <w:ilvl w:val="0"/>
          <w:numId w:val="13"/>
        </w:numPr>
        <w:spacing w:line="460" w:lineRule="atLeast"/>
        <w:ind w:left="0"/>
        <w:jc w:val="left"/>
        <w:rPr>
          <w:color w:val="2B2B2B"/>
          <w:kern w:val="0"/>
          <w:szCs w:val="21"/>
        </w:rPr>
      </w:pPr>
      <w:r>
        <w:rPr>
          <w:color w:val="2B2B2B"/>
          <w:kern w:val="0"/>
          <w:szCs w:val="21"/>
        </w:rPr>
        <w:t>严格按照国家有关财务会计制度规定，进行财产清查、债权债务确认和资产质量核实，以记录年度内发生的全部经济交易事项的会计账簿为基本依据，认真组织机构财务核算，做到账表一致、账账一致、账证一致、账实一致。</w:t>
      </w:r>
    </w:p>
    <w:p>
      <w:pPr>
        <w:widowControl/>
        <w:numPr>
          <w:ilvl w:val="0"/>
          <w:numId w:val="13"/>
        </w:numPr>
        <w:spacing w:line="460" w:lineRule="atLeast"/>
        <w:ind w:left="0"/>
        <w:jc w:val="left"/>
        <w:rPr>
          <w:color w:val="2B2B2B"/>
          <w:kern w:val="0"/>
          <w:szCs w:val="21"/>
        </w:rPr>
      </w:pPr>
      <w:r>
        <w:rPr>
          <w:color w:val="2B2B2B"/>
          <w:kern w:val="0"/>
          <w:szCs w:val="21"/>
        </w:rPr>
        <w:t>严格按规定编制财务报告，年度财务报告接受独立会计师事务所的审计。财务会计报告由会计报表、会计报表附注和财务情况说明书构成。</w:t>
      </w:r>
    </w:p>
    <w:p>
      <w:pPr>
        <w:widowControl/>
        <w:numPr>
          <w:ilvl w:val="0"/>
          <w:numId w:val="13"/>
        </w:numPr>
        <w:spacing w:line="460" w:lineRule="atLeast"/>
        <w:ind w:left="0"/>
        <w:jc w:val="left"/>
        <w:rPr>
          <w:color w:val="2B2B2B"/>
          <w:kern w:val="0"/>
          <w:szCs w:val="21"/>
        </w:rPr>
      </w:pPr>
      <w:r>
        <w:rPr>
          <w:color w:val="2B2B2B"/>
          <w:kern w:val="0"/>
          <w:szCs w:val="21"/>
        </w:rPr>
        <w:t>结合项目管理和服务特点，建立科学、合理的财务分析指标。通过分析，反映业务活动和经济活动的效果，并将分析结果及时反映给秘书处和理事会，为其进行决策提供科学、可靠的依据。</w:t>
      </w:r>
    </w:p>
    <w:p>
      <w:pPr>
        <w:widowControl/>
        <w:numPr>
          <w:ilvl w:val="0"/>
          <w:numId w:val="13"/>
        </w:numPr>
        <w:spacing w:line="460" w:lineRule="atLeast"/>
        <w:ind w:left="0"/>
        <w:jc w:val="left"/>
        <w:rPr>
          <w:color w:val="2B2B2B"/>
          <w:kern w:val="0"/>
          <w:szCs w:val="21"/>
        </w:rPr>
      </w:pPr>
      <w:r>
        <w:rPr>
          <w:color w:val="2B2B2B"/>
          <w:kern w:val="0"/>
          <w:szCs w:val="21"/>
        </w:rPr>
        <w:t>财务分析的内容有：预算执行情况分析，资金、资产的运用及效率分析，收入、费用支出分析，财产物资的管理情况分析等。</w:t>
      </w:r>
    </w:p>
    <w:p>
      <w:pPr>
        <w:widowControl/>
        <w:numPr>
          <w:ilvl w:val="0"/>
          <w:numId w:val="13"/>
        </w:numPr>
        <w:spacing w:line="460" w:lineRule="atLeast"/>
        <w:ind w:left="0"/>
        <w:jc w:val="left"/>
        <w:rPr>
          <w:color w:val="2B2B2B"/>
          <w:kern w:val="0"/>
          <w:szCs w:val="21"/>
        </w:rPr>
      </w:pPr>
      <w:r>
        <w:rPr>
          <w:color w:val="2B2B2B"/>
          <w:kern w:val="0"/>
          <w:szCs w:val="21"/>
        </w:rPr>
        <w:t>计划财务部应通过过程监督及事后财务分析等方式，对财务收支、资金运用、财产物资管理等情况进行监督检查。对违反国家财政、财务制度和财经纪律的行为，要及时予以制止、纠正，性质比较严重的，要向领导及有关部门报告，并按有关规定严肃处理。</w:t>
      </w:r>
    </w:p>
    <w:p>
      <w:pPr>
        <w:widowControl/>
        <w:spacing w:line="460" w:lineRule="atLeast"/>
        <w:jc w:val="center"/>
        <w:outlineLvl w:val="0"/>
        <w:rPr>
          <w:b/>
          <w:bCs/>
          <w:color w:val="2B2B2B"/>
          <w:kern w:val="36"/>
          <w:sz w:val="48"/>
          <w:szCs w:val="48"/>
        </w:rPr>
      </w:pPr>
      <w:r>
        <w:rPr>
          <w:b/>
          <w:bCs/>
          <w:color w:val="2B2B2B"/>
          <w:kern w:val="36"/>
          <w:sz w:val="18"/>
          <w:szCs w:val="18"/>
        </w:rPr>
        <w:t>第十章 内部会计控制与财务监督</w:t>
      </w:r>
    </w:p>
    <w:p>
      <w:pPr>
        <w:widowControl/>
        <w:numPr>
          <w:ilvl w:val="0"/>
          <w:numId w:val="14"/>
        </w:numPr>
        <w:spacing w:line="460" w:lineRule="atLeast"/>
        <w:ind w:left="0"/>
        <w:jc w:val="left"/>
        <w:rPr>
          <w:color w:val="2B2B2B"/>
          <w:kern w:val="0"/>
          <w:szCs w:val="21"/>
        </w:rPr>
      </w:pPr>
      <w:r>
        <w:rPr>
          <w:color w:val="2B2B2B"/>
          <w:kern w:val="0"/>
          <w:szCs w:val="21"/>
        </w:rPr>
        <w:t>内部控制，是指由理事会、秘书处和全体员工共同实施的、旨在合理保证实现以下基本目标的一系列控制活动：</w:t>
      </w:r>
      <w:r>
        <w:rPr>
          <w:color w:val="2B2B2B"/>
          <w:kern w:val="0"/>
          <w:szCs w:val="21"/>
        </w:rPr>
        <w:br w:type="textWrapping"/>
      </w:r>
      <w:r>
        <w:rPr>
          <w:color w:val="2B2B2B"/>
          <w:kern w:val="0"/>
          <w:szCs w:val="21"/>
        </w:rPr>
        <w:t>    (一)基金会战略；</w:t>
      </w:r>
      <w:r>
        <w:rPr>
          <w:color w:val="2B2B2B"/>
          <w:kern w:val="0"/>
          <w:szCs w:val="21"/>
        </w:rPr>
        <w:br w:type="textWrapping"/>
      </w:r>
      <w:r>
        <w:rPr>
          <w:color w:val="2B2B2B"/>
          <w:kern w:val="0"/>
          <w:szCs w:val="21"/>
        </w:rPr>
        <w:t>    (二)经营的效率和效果；</w:t>
      </w:r>
      <w:r>
        <w:rPr>
          <w:color w:val="2B2B2B"/>
          <w:kern w:val="0"/>
          <w:szCs w:val="21"/>
        </w:rPr>
        <w:br w:type="textWrapping"/>
      </w:r>
      <w:r>
        <w:rPr>
          <w:color w:val="2B2B2B"/>
          <w:kern w:val="0"/>
          <w:szCs w:val="21"/>
        </w:rPr>
        <w:t>    (三)财务报告及管理信息的真实、可靠和完整；</w:t>
      </w:r>
      <w:r>
        <w:rPr>
          <w:color w:val="2B2B2B"/>
          <w:kern w:val="0"/>
          <w:szCs w:val="21"/>
        </w:rPr>
        <w:br w:type="textWrapping"/>
      </w:r>
      <w:r>
        <w:rPr>
          <w:color w:val="2B2B2B"/>
          <w:kern w:val="0"/>
          <w:szCs w:val="21"/>
        </w:rPr>
        <w:t>    (四)资产的安全完整；</w:t>
      </w:r>
      <w:r>
        <w:rPr>
          <w:color w:val="2B2B2B"/>
          <w:kern w:val="0"/>
          <w:szCs w:val="21"/>
        </w:rPr>
        <w:br w:type="textWrapping"/>
      </w:r>
      <w:r>
        <w:rPr>
          <w:color w:val="2B2B2B"/>
          <w:kern w:val="0"/>
          <w:szCs w:val="21"/>
        </w:rPr>
        <w:t>    (五)遵循国家法律法规和有关监管要求。</w:t>
      </w:r>
    </w:p>
    <w:p>
      <w:pPr>
        <w:widowControl/>
        <w:numPr>
          <w:ilvl w:val="0"/>
          <w:numId w:val="14"/>
        </w:numPr>
        <w:spacing w:line="460" w:lineRule="atLeast"/>
        <w:ind w:left="0"/>
        <w:jc w:val="left"/>
        <w:rPr>
          <w:color w:val="2B2B2B"/>
          <w:kern w:val="0"/>
          <w:szCs w:val="21"/>
        </w:rPr>
      </w:pPr>
      <w:r>
        <w:rPr>
          <w:color w:val="2B2B2B"/>
          <w:kern w:val="0"/>
          <w:szCs w:val="21"/>
        </w:rPr>
        <w:t>秘书处负责组织领导本基金会内部控制的日常运行，对本单位内部会计控制制度的建立健全和有效实施负责。内部控制措施通常包括职责分工控制、授权控制、审核批准控制、预算控制、财产保护控制、会计系统控制、内部报告控制、经济活动分析控制、绩效考评控制、信息技术控制等。</w:t>
      </w:r>
    </w:p>
    <w:p>
      <w:pPr>
        <w:widowControl/>
        <w:numPr>
          <w:ilvl w:val="0"/>
          <w:numId w:val="14"/>
        </w:numPr>
        <w:spacing w:line="460" w:lineRule="atLeast"/>
        <w:ind w:left="0"/>
        <w:jc w:val="left"/>
        <w:rPr>
          <w:color w:val="2B2B2B"/>
          <w:kern w:val="0"/>
          <w:szCs w:val="21"/>
        </w:rPr>
      </w:pPr>
      <w:r>
        <w:rPr>
          <w:color w:val="2B2B2B"/>
          <w:kern w:val="0"/>
          <w:szCs w:val="21"/>
        </w:rPr>
        <w:t>基金会的职责分工、权限范围和审批程序应当明确，机构设置和人员配备应当科学合理；明确相关部门和岗位的职责权限，确保办理各项业务的不相容岗位相互分离、制约和监督。</w:t>
      </w:r>
    </w:p>
    <w:p>
      <w:pPr>
        <w:widowControl/>
        <w:numPr>
          <w:ilvl w:val="0"/>
          <w:numId w:val="14"/>
        </w:numPr>
        <w:spacing w:line="460" w:lineRule="atLeast"/>
        <w:ind w:left="0"/>
        <w:jc w:val="left"/>
        <w:rPr>
          <w:color w:val="2B2B2B"/>
          <w:kern w:val="0"/>
          <w:szCs w:val="21"/>
        </w:rPr>
      </w:pPr>
      <w:r>
        <w:rPr>
          <w:color w:val="2B2B2B"/>
          <w:kern w:val="0"/>
          <w:szCs w:val="21"/>
        </w:rPr>
        <w:t>内部会计控制应当建立货币资金业务、采购与付款业务、捐赠物资业务、固定资产管理、捐赠收入业务、成本费用业务的岗位责任制，应当注意如下不相容岗位：</w:t>
      </w:r>
    </w:p>
    <w:p>
      <w:pPr>
        <w:widowControl/>
        <w:spacing w:line="460" w:lineRule="atLeast"/>
        <w:jc w:val="left"/>
        <w:rPr>
          <w:color w:val="2B2B2B"/>
          <w:kern w:val="0"/>
          <w:szCs w:val="21"/>
        </w:rPr>
      </w:pPr>
      <w:r>
        <w:rPr>
          <w:color w:val="2B2B2B"/>
          <w:kern w:val="0"/>
          <w:szCs w:val="21"/>
        </w:rPr>
        <w:t>1、货币资金业务的不相容岗位至少应当包括：</w:t>
      </w:r>
      <w:r>
        <w:rPr>
          <w:color w:val="2B2B2B"/>
          <w:kern w:val="0"/>
          <w:szCs w:val="21"/>
        </w:rPr>
        <w:br w:type="textWrapping"/>
      </w:r>
      <w:r>
        <w:rPr>
          <w:color w:val="2B2B2B"/>
          <w:kern w:val="0"/>
          <w:szCs w:val="21"/>
        </w:rPr>
        <w:t>    (一)货币资金支付的审批与执行；</w:t>
      </w:r>
      <w:r>
        <w:rPr>
          <w:color w:val="2B2B2B"/>
          <w:kern w:val="0"/>
          <w:szCs w:val="21"/>
        </w:rPr>
        <w:br w:type="textWrapping"/>
      </w:r>
      <w:r>
        <w:rPr>
          <w:color w:val="2B2B2B"/>
          <w:kern w:val="0"/>
          <w:szCs w:val="21"/>
        </w:rPr>
        <w:t>    (二)货币资金的保管与盘点清查；</w:t>
      </w:r>
      <w:r>
        <w:rPr>
          <w:color w:val="2B2B2B"/>
          <w:kern w:val="0"/>
          <w:szCs w:val="21"/>
        </w:rPr>
        <w:br w:type="textWrapping"/>
      </w:r>
      <w:r>
        <w:rPr>
          <w:color w:val="2B2B2B"/>
          <w:kern w:val="0"/>
          <w:szCs w:val="21"/>
        </w:rPr>
        <w:t>    (三)货币资金的会计记录与审计监督。</w:t>
      </w:r>
      <w:r>
        <w:rPr>
          <w:color w:val="2B2B2B"/>
          <w:kern w:val="0"/>
          <w:szCs w:val="21"/>
        </w:rPr>
        <w:br w:type="textWrapping"/>
      </w:r>
      <w:r>
        <w:rPr>
          <w:color w:val="2B2B2B"/>
          <w:kern w:val="0"/>
          <w:szCs w:val="21"/>
        </w:rPr>
        <w:t>    出纳人员不得兼任稽核、会计档案保管和收入、支出、费用、债权债务账目的登记工作。</w:t>
      </w:r>
      <w:r>
        <w:rPr>
          <w:color w:val="2B2B2B"/>
          <w:kern w:val="0"/>
          <w:szCs w:val="21"/>
        </w:rPr>
        <w:br w:type="textWrapping"/>
      </w:r>
      <w:r>
        <w:rPr>
          <w:color w:val="2B2B2B"/>
          <w:kern w:val="0"/>
          <w:szCs w:val="21"/>
        </w:rPr>
        <w:t>    2、采购与付款业务的不相容岗位至少包括：</w:t>
      </w:r>
      <w:r>
        <w:rPr>
          <w:color w:val="2B2B2B"/>
          <w:kern w:val="0"/>
          <w:szCs w:val="21"/>
        </w:rPr>
        <w:br w:type="textWrapping"/>
      </w:r>
      <w:r>
        <w:rPr>
          <w:color w:val="2B2B2B"/>
          <w:kern w:val="0"/>
          <w:szCs w:val="21"/>
        </w:rPr>
        <w:t>    (一)请购与审批；</w:t>
      </w:r>
      <w:r>
        <w:rPr>
          <w:color w:val="2B2B2B"/>
          <w:kern w:val="0"/>
          <w:szCs w:val="21"/>
        </w:rPr>
        <w:br w:type="textWrapping"/>
      </w:r>
      <w:r>
        <w:rPr>
          <w:color w:val="2B2B2B"/>
          <w:kern w:val="0"/>
          <w:szCs w:val="21"/>
        </w:rPr>
        <w:t>    (二)询价与确定供应商；</w:t>
      </w:r>
      <w:r>
        <w:rPr>
          <w:color w:val="2B2B2B"/>
          <w:kern w:val="0"/>
          <w:szCs w:val="21"/>
        </w:rPr>
        <w:br w:type="textWrapping"/>
      </w:r>
      <w:r>
        <w:rPr>
          <w:color w:val="2B2B2B"/>
          <w:kern w:val="0"/>
          <w:szCs w:val="21"/>
        </w:rPr>
        <w:t>    (三)采购合同的订立与审核；</w:t>
      </w:r>
      <w:r>
        <w:rPr>
          <w:color w:val="2B2B2B"/>
          <w:kern w:val="0"/>
          <w:szCs w:val="21"/>
        </w:rPr>
        <w:br w:type="textWrapping"/>
      </w:r>
      <w:r>
        <w:rPr>
          <w:color w:val="2B2B2B"/>
          <w:kern w:val="0"/>
          <w:szCs w:val="21"/>
        </w:rPr>
        <w:t>    (四)采购、验收与相关会计记录；</w:t>
      </w:r>
      <w:r>
        <w:rPr>
          <w:color w:val="2B2B2B"/>
          <w:kern w:val="0"/>
          <w:szCs w:val="21"/>
        </w:rPr>
        <w:br w:type="textWrapping"/>
      </w:r>
      <w:r>
        <w:rPr>
          <w:color w:val="2B2B2B"/>
          <w:kern w:val="0"/>
          <w:szCs w:val="21"/>
        </w:rPr>
        <w:t>    (五)付款的申请、审批与执行。</w:t>
      </w:r>
      <w:r>
        <w:rPr>
          <w:color w:val="2B2B2B"/>
          <w:kern w:val="0"/>
          <w:szCs w:val="21"/>
        </w:rPr>
        <w:br w:type="textWrapping"/>
      </w:r>
      <w:r>
        <w:rPr>
          <w:color w:val="2B2B2B"/>
          <w:kern w:val="0"/>
          <w:szCs w:val="21"/>
        </w:rPr>
        <w:t>3、捐赠物资业务的不相容岗位至少包括：</w:t>
      </w:r>
      <w:r>
        <w:rPr>
          <w:color w:val="2B2B2B"/>
          <w:kern w:val="0"/>
          <w:szCs w:val="21"/>
        </w:rPr>
        <w:br w:type="textWrapping"/>
      </w:r>
      <w:r>
        <w:rPr>
          <w:color w:val="2B2B2B"/>
          <w:kern w:val="0"/>
          <w:szCs w:val="21"/>
        </w:rPr>
        <w:t>   (一)捐赠物资的请购与审批，审批与执行；</w:t>
      </w:r>
      <w:r>
        <w:rPr>
          <w:color w:val="2B2B2B"/>
          <w:kern w:val="0"/>
          <w:szCs w:val="21"/>
        </w:rPr>
        <w:br w:type="textWrapping"/>
      </w:r>
      <w:r>
        <w:rPr>
          <w:color w:val="2B2B2B"/>
          <w:kern w:val="0"/>
          <w:szCs w:val="21"/>
        </w:rPr>
        <w:t>   (二)捐赠物资的采购（或接收）与验收、付款；</w:t>
      </w:r>
      <w:r>
        <w:rPr>
          <w:color w:val="2B2B2B"/>
          <w:kern w:val="0"/>
          <w:szCs w:val="21"/>
        </w:rPr>
        <w:br w:type="textWrapping"/>
      </w:r>
      <w:r>
        <w:rPr>
          <w:color w:val="2B2B2B"/>
          <w:kern w:val="0"/>
          <w:szCs w:val="21"/>
        </w:rPr>
        <w:t>   (三)捐赠物资的保管与相关会计记录；</w:t>
      </w:r>
      <w:r>
        <w:rPr>
          <w:color w:val="2B2B2B"/>
          <w:kern w:val="0"/>
          <w:szCs w:val="21"/>
        </w:rPr>
        <w:br w:type="textWrapping"/>
      </w:r>
      <w:r>
        <w:rPr>
          <w:color w:val="2B2B2B"/>
          <w:kern w:val="0"/>
          <w:szCs w:val="21"/>
        </w:rPr>
        <w:t>   (四)捐赠物资发出的申请与审批，申请与会计记录；</w:t>
      </w:r>
      <w:r>
        <w:rPr>
          <w:color w:val="2B2B2B"/>
          <w:kern w:val="0"/>
          <w:szCs w:val="21"/>
        </w:rPr>
        <w:br w:type="textWrapping"/>
      </w:r>
      <w:r>
        <w:rPr>
          <w:color w:val="2B2B2B"/>
          <w:kern w:val="0"/>
          <w:szCs w:val="21"/>
        </w:rPr>
        <w:t>   (五)捐赠物资处置的申请与审批，申请与会计记录。</w:t>
      </w:r>
      <w:r>
        <w:rPr>
          <w:color w:val="2B2B2B"/>
          <w:kern w:val="0"/>
          <w:szCs w:val="21"/>
        </w:rPr>
        <w:br w:type="textWrapping"/>
      </w:r>
      <w:r>
        <w:rPr>
          <w:color w:val="2B2B2B"/>
          <w:kern w:val="0"/>
          <w:szCs w:val="21"/>
        </w:rPr>
        <w:t>4、固定资产业务不相容岗位至少包括：</w:t>
      </w:r>
      <w:r>
        <w:rPr>
          <w:color w:val="2B2B2B"/>
          <w:kern w:val="0"/>
          <w:szCs w:val="21"/>
        </w:rPr>
        <w:br w:type="textWrapping"/>
      </w:r>
      <w:r>
        <w:rPr>
          <w:color w:val="2B2B2B"/>
          <w:kern w:val="0"/>
          <w:szCs w:val="21"/>
        </w:rPr>
        <w:t>   (一)固定资产投资预算的编制与审批，审批与执行；</w:t>
      </w:r>
      <w:r>
        <w:rPr>
          <w:color w:val="2B2B2B"/>
          <w:kern w:val="0"/>
          <w:szCs w:val="21"/>
        </w:rPr>
        <w:br w:type="textWrapping"/>
      </w:r>
      <w:r>
        <w:rPr>
          <w:color w:val="2B2B2B"/>
          <w:kern w:val="0"/>
          <w:szCs w:val="21"/>
        </w:rPr>
        <w:t>    (二)固定资产采购、验收与款项支付；</w:t>
      </w:r>
      <w:r>
        <w:rPr>
          <w:color w:val="2B2B2B"/>
          <w:kern w:val="0"/>
          <w:szCs w:val="21"/>
        </w:rPr>
        <w:br w:type="textWrapping"/>
      </w:r>
      <w:r>
        <w:rPr>
          <w:color w:val="2B2B2B"/>
          <w:kern w:val="0"/>
          <w:szCs w:val="21"/>
        </w:rPr>
        <w:t>    (三)固定资产投保的申请与审批；</w:t>
      </w:r>
      <w:r>
        <w:rPr>
          <w:color w:val="2B2B2B"/>
          <w:kern w:val="0"/>
          <w:szCs w:val="21"/>
        </w:rPr>
        <w:br w:type="textWrapping"/>
      </w:r>
      <w:r>
        <w:rPr>
          <w:color w:val="2B2B2B"/>
          <w:kern w:val="0"/>
          <w:szCs w:val="21"/>
        </w:rPr>
        <w:t>    (四)固定资产处置的申请与审批，审批与执行；</w:t>
      </w:r>
      <w:r>
        <w:rPr>
          <w:color w:val="2B2B2B"/>
          <w:kern w:val="0"/>
          <w:szCs w:val="21"/>
        </w:rPr>
        <w:br w:type="textWrapping"/>
      </w:r>
      <w:r>
        <w:rPr>
          <w:color w:val="2B2B2B"/>
          <w:kern w:val="0"/>
          <w:szCs w:val="21"/>
        </w:rPr>
        <w:t>    (五)固定资产取得与处置业务的执行与相关会计记录。</w:t>
      </w:r>
      <w:r>
        <w:rPr>
          <w:color w:val="2B2B2B"/>
          <w:kern w:val="0"/>
          <w:szCs w:val="21"/>
        </w:rPr>
        <w:br w:type="textWrapping"/>
      </w:r>
      <w:r>
        <w:rPr>
          <w:color w:val="2B2B2B"/>
          <w:kern w:val="0"/>
          <w:szCs w:val="21"/>
        </w:rPr>
        <w:t>5、 捐赠与收款不相容岗位至少应当包括：</w:t>
      </w:r>
      <w:r>
        <w:rPr>
          <w:color w:val="2B2B2B"/>
          <w:kern w:val="0"/>
          <w:szCs w:val="21"/>
        </w:rPr>
        <w:br w:type="textWrapping"/>
      </w:r>
      <w:r>
        <w:rPr>
          <w:color w:val="2B2B2B"/>
          <w:kern w:val="0"/>
          <w:szCs w:val="21"/>
        </w:rPr>
        <w:t>    (一)客户信用调查评估与捐赠合同的审批签订；</w:t>
      </w:r>
      <w:r>
        <w:rPr>
          <w:color w:val="2B2B2B"/>
          <w:kern w:val="0"/>
          <w:szCs w:val="21"/>
        </w:rPr>
        <w:br w:type="textWrapping"/>
      </w:r>
      <w:r>
        <w:rPr>
          <w:color w:val="2B2B2B"/>
          <w:kern w:val="0"/>
          <w:szCs w:val="21"/>
        </w:rPr>
        <w:t>    (二)捐赠的确认、收款与相关会计记录；</w:t>
      </w:r>
      <w:r>
        <w:rPr>
          <w:color w:val="2B2B2B"/>
          <w:kern w:val="0"/>
          <w:szCs w:val="21"/>
        </w:rPr>
        <w:br w:type="textWrapping"/>
      </w:r>
      <w:r>
        <w:rPr>
          <w:color w:val="2B2B2B"/>
          <w:kern w:val="0"/>
          <w:szCs w:val="21"/>
        </w:rPr>
        <w:t>    (三)捐赠业务经办与捐赠票据开具、管理；</w:t>
      </w:r>
      <w:r>
        <w:rPr>
          <w:color w:val="2B2B2B"/>
          <w:kern w:val="0"/>
          <w:szCs w:val="21"/>
        </w:rPr>
        <w:br w:type="textWrapping"/>
      </w:r>
      <w:r>
        <w:rPr>
          <w:color w:val="2B2B2B"/>
          <w:kern w:val="0"/>
          <w:szCs w:val="21"/>
        </w:rPr>
        <w:t>6、成本费用业务的不相容岗位至少包括：</w:t>
      </w:r>
      <w:r>
        <w:rPr>
          <w:color w:val="2B2B2B"/>
          <w:kern w:val="0"/>
          <w:szCs w:val="21"/>
        </w:rPr>
        <w:br w:type="textWrapping"/>
      </w:r>
      <w:r>
        <w:rPr>
          <w:color w:val="2B2B2B"/>
          <w:kern w:val="0"/>
          <w:szCs w:val="21"/>
        </w:rPr>
        <w:t>    (一)成本费用定额、预算的编制与审批；</w:t>
      </w:r>
      <w:r>
        <w:rPr>
          <w:color w:val="2B2B2B"/>
          <w:kern w:val="0"/>
          <w:szCs w:val="21"/>
        </w:rPr>
        <w:br w:type="textWrapping"/>
      </w:r>
      <w:r>
        <w:rPr>
          <w:color w:val="2B2B2B"/>
          <w:kern w:val="0"/>
          <w:szCs w:val="21"/>
        </w:rPr>
        <w:t>    (二)成本费用支出与审批；</w:t>
      </w:r>
      <w:r>
        <w:rPr>
          <w:color w:val="2B2B2B"/>
          <w:kern w:val="0"/>
          <w:szCs w:val="21"/>
        </w:rPr>
        <w:br w:type="textWrapping"/>
      </w:r>
      <w:r>
        <w:rPr>
          <w:color w:val="2B2B2B"/>
          <w:kern w:val="0"/>
          <w:szCs w:val="21"/>
        </w:rPr>
        <w:t>    (三)成本费用支出与相关会计记录。</w:t>
      </w:r>
    </w:p>
    <w:p>
      <w:pPr>
        <w:widowControl/>
        <w:numPr>
          <w:ilvl w:val="0"/>
          <w:numId w:val="15"/>
        </w:numPr>
        <w:spacing w:line="460" w:lineRule="atLeast"/>
        <w:ind w:left="0"/>
        <w:jc w:val="left"/>
        <w:rPr>
          <w:color w:val="2B2B2B"/>
          <w:kern w:val="0"/>
          <w:szCs w:val="21"/>
        </w:rPr>
      </w:pPr>
      <w:r>
        <w:rPr>
          <w:color w:val="2B2B2B"/>
          <w:kern w:val="0"/>
          <w:szCs w:val="21"/>
        </w:rPr>
        <w:t>同一岗位人员应定期作适当调整和更换，避免同一人员长时间负责同一业务。关键财会岗位，可以实行强制休假及岗位轮换制度。</w:t>
      </w:r>
    </w:p>
    <w:p>
      <w:pPr>
        <w:widowControl/>
        <w:numPr>
          <w:ilvl w:val="0"/>
          <w:numId w:val="15"/>
        </w:numPr>
        <w:spacing w:line="460" w:lineRule="atLeast"/>
        <w:ind w:left="0"/>
        <w:jc w:val="left"/>
        <w:rPr>
          <w:color w:val="2B2B2B"/>
          <w:kern w:val="0"/>
          <w:szCs w:val="21"/>
        </w:rPr>
      </w:pPr>
      <w:r>
        <w:rPr>
          <w:color w:val="2B2B2B"/>
          <w:kern w:val="0"/>
          <w:szCs w:val="21"/>
        </w:rPr>
        <w:t>按规定需要由有关负责人签字或盖章的经济业务与事项，必须严格履行签字或盖章手续。</w:t>
      </w:r>
    </w:p>
    <w:p>
      <w:pPr>
        <w:widowControl/>
        <w:numPr>
          <w:ilvl w:val="0"/>
          <w:numId w:val="15"/>
        </w:numPr>
        <w:spacing w:line="460" w:lineRule="atLeast"/>
        <w:ind w:left="0"/>
        <w:jc w:val="left"/>
        <w:rPr>
          <w:color w:val="2B2B2B"/>
          <w:kern w:val="0"/>
          <w:szCs w:val="21"/>
        </w:rPr>
      </w:pPr>
      <w:r>
        <w:rPr>
          <w:color w:val="2B2B2B"/>
          <w:kern w:val="0"/>
          <w:szCs w:val="21"/>
        </w:rPr>
        <w:t>应当加强与货币资金相关的票据管理，明确各种票据的购买、保管、领用、背书转让、注销等环节的职责权限和处理程序，并专设登记簿进行记录，防止空白票据的遗失和被盗用。因填写、开具失误或者其他原因导致作废的法定票据，应当按规定予以保存，不得随意处置或销毁。对超过法定保管期限、可以销毁的票据，在履行审核批准手续后进行销毁，但应当建立销毁清册并由授权人员监销。</w:t>
      </w:r>
      <w:r>
        <w:rPr>
          <w:color w:val="2B2B2B"/>
          <w:kern w:val="0"/>
          <w:szCs w:val="21"/>
        </w:rPr>
        <w:br w:type="textWrapping"/>
      </w:r>
      <w:r>
        <w:rPr>
          <w:color w:val="2B2B2B"/>
          <w:kern w:val="0"/>
          <w:szCs w:val="21"/>
        </w:rPr>
        <w:t>  应当设立专门的账薄对票据的转交进行登记；对收取的重要票据，应留有复印件并妥善保管；不得跳号开具票据，不得开具印章齐全的空白支票。</w:t>
      </w:r>
    </w:p>
    <w:p>
      <w:pPr>
        <w:widowControl/>
        <w:numPr>
          <w:ilvl w:val="0"/>
          <w:numId w:val="15"/>
        </w:numPr>
        <w:spacing w:line="460" w:lineRule="atLeast"/>
        <w:ind w:left="0"/>
        <w:jc w:val="left"/>
        <w:rPr>
          <w:color w:val="2B2B2B"/>
          <w:kern w:val="0"/>
          <w:szCs w:val="21"/>
        </w:rPr>
      </w:pPr>
      <w:r>
        <w:rPr>
          <w:color w:val="2B2B2B"/>
          <w:kern w:val="0"/>
          <w:szCs w:val="21"/>
        </w:rPr>
        <w:t> 银行预留印鉴和有关印章的管理应当严格有效。财务专用章应当由专人保管，个人名章应当由本人或其授权人员保管，不得由一个人保管支付款项所需的全部印章。</w:t>
      </w:r>
    </w:p>
    <w:p>
      <w:pPr>
        <w:widowControl/>
        <w:numPr>
          <w:ilvl w:val="0"/>
          <w:numId w:val="15"/>
        </w:numPr>
        <w:spacing w:line="460" w:lineRule="atLeast"/>
        <w:ind w:left="0"/>
        <w:jc w:val="left"/>
        <w:rPr>
          <w:color w:val="2B2B2B"/>
          <w:kern w:val="0"/>
          <w:szCs w:val="21"/>
        </w:rPr>
      </w:pPr>
      <w:r>
        <w:rPr>
          <w:color w:val="2B2B2B"/>
          <w:kern w:val="0"/>
          <w:szCs w:val="21"/>
        </w:rPr>
        <w:t>  发挥会计系统的控制作用，加强内部审计工作，建立内部会计控制定期报告制度。</w:t>
      </w:r>
    </w:p>
    <w:p>
      <w:pPr>
        <w:widowControl/>
        <w:spacing w:line="460" w:lineRule="atLeast"/>
        <w:jc w:val="center"/>
        <w:outlineLvl w:val="0"/>
        <w:rPr>
          <w:b/>
          <w:bCs/>
          <w:color w:val="2B2B2B"/>
          <w:kern w:val="36"/>
          <w:sz w:val="48"/>
          <w:szCs w:val="48"/>
        </w:rPr>
      </w:pPr>
      <w:r>
        <w:rPr>
          <w:b/>
          <w:bCs/>
          <w:color w:val="2B2B2B"/>
          <w:kern w:val="36"/>
          <w:sz w:val="18"/>
          <w:szCs w:val="18"/>
        </w:rPr>
        <w:t>第十一章 财务信息披露</w:t>
      </w:r>
    </w:p>
    <w:p>
      <w:pPr>
        <w:widowControl/>
        <w:numPr>
          <w:ilvl w:val="0"/>
          <w:numId w:val="16"/>
        </w:numPr>
        <w:spacing w:line="460" w:lineRule="atLeast"/>
        <w:ind w:left="0"/>
        <w:jc w:val="left"/>
        <w:rPr>
          <w:color w:val="2B2B2B"/>
          <w:kern w:val="0"/>
          <w:szCs w:val="21"/>
        </w:rPr>
      </w:pPr>
      <w:r>
        <w:rPr>
          <w:color w:val="2B2B2B"/>
          <w:kern w:val="0"/>
          <w:szCs w:val="21"/>
        </w:rPr>
        <w:t> 财务信息是捐赠人、理事会、管理者和社会公众等机构利益相关方了解机构资产状况、负债水平、资金使用情况及现金流量等信息的重要来源。</w:t>
      </w:r>
    </w:p>
    <w:p>
      <w:pPr>
        <w:widowControl/>
        <w:numPr>
          <w:ilvl w:val="0"/>
          <w:numId w:val="16"/>
        </w:numPr>
        <w:spacing w:line="460" w:lineRule="atLeast"/>
        <w:ind w:left="0"/>
        <w:jc w:val="left"/>
        <w:rPr>
          <w:color w:val="2B2B2B"/>
          <w:kern w:val="0"/>
          <w:szCs w:val="21"/>
        </w:rPr>
      </w:pPr>
      <w:r>
        <w:rPr>
          <w:color w:val="2B2B2B"/>
          <w:kern w:val="0"/>
          <w:szCs w:val="21"/>
        </w:rPr>
        <w:t> 财务信息披露是建立社会公信力的重要环节，基金会建立定期财务信息披露制度，提供及时、真实、完整的财务信息。</w:t>
      </w:r>
    </w:p>
    <w:p>
      <w:pPr>
        <w:widowControl/>
        <w:numPr>
          <w:ilvl w:val="0"/>
          <w:numId w:val="16"/>
        </w:numPr>
        <w:spacing w:line="460" w:lineRule="atLeast"/>
        <w:ind w:left="0"/>
        <w:jc w:val="left"/>
        <w:rPr>
          <w:color w:val="2B2B2B"/>
          <w:kern w:val="0"/>
          <w:szCs w:val="21"/>
        </w:rPr>
      </w:pPr>
      <w:r>
        <w:rPr>
          <w:color w:val="2B2B2B"/>
          <w:kern w:val="0"/>
          <w:szCs w:val="21"/>
        </w:rPr>
        <w:t> 按照基金会信息披露管理办法的规定及时在机构网站及相关媒体上公布审计报告和财务会计报告及相关财务信息。</w:t>
      </w:r>
    </w:p>
    <w:p>
      <w:pPr>
        <w:widowControl/>
        <w:spacing w:line="460" w:lineRule="atLeast"/>
        <w:jc w:val="center"/>
        <w:outlineLvl w:val="0"/>
        <w:rPr>
          <w:b/>
          <w:bCs/>
          <w:color w:val="2B2B2B"/>
          <w:kern w:val="36"/>
          <w:sz w:val="48"/>
          <w:szCs w:val="48"/>
        </w:rPr>
      </w:pPr>
      <w:r>
        <w:rPr>
          <w:b/>
          <w:bCs/>
          <w:color w:val="2B2B2B"/>
          <w:kern w:val="36"/>
          <w:sz w:val="18"/>
          <w:szCs w:val="18"/>
        </w:rPr>
        <w:t>第十二章 附则</w:t>
      </w:r>
    </w:p>
    <w:p>
      <w:pPr>
        <w:widowControl/>
        <w:numPr>
          <w:ilvl w:val="0"/>
          <w:numId w:val="17"/>
        </w:numPr>
        <w:spacing w:line="460" w:lineRule="atLeast"/>
        <w:ind w:left="0"/>
        <w:jc w:val="left"/>
        <w:rPr>
          <w:color w:val="2B2B2B"/>
          <w:kern w:val="0"/>
          <w:szCs w:val="21"/>
        </w:rPr>
      </w:pPr>
      <w:r>
        <w:rPr>
          <w:color w:val="2B2B2B"/>
          <w:kern w:val="0"/>
          <w:szCs w:val="21"/>
        </w:rPr>
        <w:t>本基金会针对具体业务制订的财务管理办法为本条例的补充规定或详细解释，与本条例具有同等效力，但不得与本条例相冲突。</w:t>
      </w:r>
      <w:bookmarkStart w:id="0" w:name="_GoBack"/>
      <w:bookmarkEnd w:id="0"/>
    </w:p>
    <w:p>
      <w:pPr>
        <w:widowControl/>
        <w:numPr>
          <w:ilvl w:val="0"/>
          <w:numId w:val="17"/>
        </w:numPr>
        <w:spacing w:line="460" w:lineRule="atLeast"/>
        <w:ind w:left="0"/>
        <w:jc w:val="left"/>
        <w:rPr>
          <w:color w:val="2B2B2B"/>
          <w:kern w:val="0"/>
          <w:szCs w:val="21"/>
        </w:rPr>
      </w:pPr>
      <w:r>
        <w:rPr>
          <w:color w:val="2B2B2B"/>
          <w:kern w:val="0"/>
          <w:szCs w:val="21"/>
        </w:rPr>
        <w:t> 本财务管理条例自</w:t>
      </w:r>
      <w:r>
        <w:rPr>
          <w:rFonts w:hint="eastAsia"/>
          <w:color w:val="2B2B2B"/>
          <w:kern w:val="0"/>
          <w:szCs w:val="21"/>
          <w:lang w:val="en-US" w:eastAsia="zh-CN"/>
        </w:rPr>
        <w:t>2018年5月1</w:t>
      </w:r>
      <w:r>
        <w:rPr>
          <w:color w:val="2B2B2B"/>
          <w:kern w:val="0"/>
          <w:szCs w:val="21"/>
        </w:rPr>
        <w:t>日</w:t>
      </w:r>
      <w:r>
        <w:rPr>
          <w:rFonts w:hint="eastAsia"/>
          <w:color w:val="2B2B2B"/>
          <w:kern w:val="0"/>
          <w:szCs w:val="21"/>
          <w:lang w:eastAsia="zh-CN"/>
        </w:rPr>
        <w:t>起</w:t>
      </w:r>
      <w:r>
        <w:rPr>
          <w:color w:val="2B2B2B"/>
          <w:kern w:val="0"/>
          <w:szCs w:val="21"/>
        </w:rPr>
        <w:t>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D3F"/>
    <w:multiLevelType w:val="multilevel"/>
    <w:tmpl w:val="04112D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7975BD1"/>
    <w:multiLevelType w:val="multilevel"/>
    <w:tmpl w:val="07975B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9CA2A1A"/>
    <w:multiLevelType w:val="multilevel"/>
    <w:tmpl w:val="09CA2A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37F124B"/>
    <w:multiLevelType w:val="multilevel"/>
    <w:tmpl w:val="137F124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68449F6"/>
    <w:multiLevelType w:val="multilevel"/>
    <w:tmpl w:val="268449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9240E5E"/>
    <w:multiLevelType w:val="multilevel"/>
    <w:tmpl w:val="29240E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98476F4"/>
    <w:multiLevelType w:val="multilevel"/>
    <w:tmpl w:val="298476F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3323C38"/>
    <w:multiLevelType w:val="multilevel"/>
    <w:tmpl w:val="33323C3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38740B5E"/>
    <w:multiLevelType w:val="multilevel"/>
    <w:tmpl w:val="38740B5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0B01560"/>
    <w:multiLevelType w:val="multilevel"/>
    <w:tmpl w:val="60B015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62E658FB"/>
    <w:multiLevelType w:val="multilevel"/>
    <w:tmpl w:val="62E658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64752C86"/>
    <w:multiLevelType w:val="multilevel"/>
    <w:tmpl w:val="64752C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65F06871"/>
    <w:multiLevelType w:val="multilevel"/>
    <w:tmpl w:val="65F068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CFF3CB4"/>
    <w:multiLevelType w:val="multilevel"/>
    <w:tmpl w:val="6CFF3C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74CA290B"/>
    <w:multiLevelType w:val="multilevel"/>
    <w:tmpl w:val="74CA29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74D86057"/>
    <w:multiLevelType w:val="multilevel"/>
    <w:tmpl w:val="74D860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82F02D0"/>
    <w:multiLevelType w:val="multilevel"/>
    <w:tmpl w:val="782F02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0"/>
  </w:num>
  <w:num w:numId="3">
    <w:abstractNumId w:val="11"/>
  </w:num>
  <w:num w:numId="4">
    <w:abstractNumId w:val="2"/>
  </w:num>
  <w:num w:numId="5">
    <w:abstractNumId w:val="7"/>
  </w:num>
  <w:num w:numId="6">
    <w:abstractNumId w:val="10"/>
  </w:num>
  <w:num w:numId="7">
    <w:abstractNumId w:val="8"/>
  </w:num>
  <w:num w:numId="8">
    <w:abstractNumId w:val="14"/>
  </w:num>
  <w:num w:numId="9">
    <w:abstractNumId w:val="5"/>
  </w:num>
  <w:num w:numId="10">
    <w:abstractNumId w:val="1"/>
  </w:num>
  <w:num w:numId="11">
    <w:abstractNumId w:val="9"/>
  </w:num>
  <w:num w:numId="12">
    <w:abstractNumId w:val="15"/>
  </w:num>
  <w:num w:numId="13">
    <w:abstractNumId w:val="4"/>
  </w:num>
  <w:num w:numId="14">
    <w:abstractNumId w:val="16"/>
  </w:num>
  <w:num w:numId="15">
    <w:abstractNumId w:val="12"/>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6E7E"/>
    <w:rsid w:val="00086AE6"/>
    <w:rsid w:val="00205ECD"/>
    <w:rsid w:val="00315783"/>
    <w:rsid w:val="003406C2"/>
    <w:rsid w:val="00664843"/>
    <w:rsid w:val="00855A70"/>
    <w:rsid w:val="00925729"/>
    <w:rsid w:val="00971361"/>
    <w:rsid w:val="00BE73B4"/>
    <w:rsid w:val="00C3237B"/>
    <w:rsid w:val="00D06EB6"/>
    <w:rsid w:val="00D0769E"/>
    <w:rsid w:val="00F730E9"/>
    <w:rsid w:val="00FC6E7E"/>
    <w:rsid w:val="01E35662"/>
    <w:rsid w:val="543739B3"/>
    <w:rsid w:val="77E36435"/>
    <w:rsid w:val="7E3D36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style>
  <w:style w:type="character" w:styleId="8">
    <w:name w:val="Hyperlink"/>
    <w:basedOn w:val="6"/>
    <w:semiHidden/>
    <w:unhideWhenUsed/>
    <w:qFormat/>
    <w:uiPriority w:val="99"/>
    <w:rPr>
      <w:color w:val="0000FF"/>
      <w:u w:val="single"/>
    </w:rPr>
  </w:style>
  <w:style w:type="character" w:customStyle="1" w:styleId="10">
    <w:name w:val="页眉 Char"/>
    <w:basedOn w:val="6"/>
    <w:link w:val="4"/>
    <w:semiHidden/>
    <w:qFormat/>
    <w:uiPriority w:val="99"/>
    <w:rPr>
      <w:kern w:val="2"/>
      <w:sz w:val="18"/>
      <w:szCs w:val="18"/>
    </w:rPr>
  </w:style>
  <w:style w:type="character" w:customStyle="1" w:styleId="11">
    <w:name w:val="页脚 Char"/>
    <w:basedOn w:val="6"/>
    <w:link w:val="3"/>
    <w:semiHidden/>
    <w:qFormat/>
    <w:uiPriority w:val="99"/>
    <w:rPr>
      <w:kern w:val="2"/>
      <w:sz w:val="18"/>
      <w:szCs w:val="18"/>
    </w:rPr>
  </w:style>
  <w:style w:type="character" w:customStyle="1" w:styleId="12">
    <w:name w:val="标题 1 Char"/>
    <w:basedOn w:val="6"/>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1115</Words>
  <Characters>6360</Characters>
  <Lines>53</Lines>
  <Paragraphs>14</Paragraphs>
  <TotalTime>7</TotalTime>
  <ScaleCrop>false</ScaleCrop>
  <LinksUpToDate>false</LinksUpToDate>
  <CharactersWithSpaces>7461</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2015-10-23T03:31:00Z</dcterms:created>
  <dc:creator>微软用户</dc:creator>
  <cp:lastModifiedBy>刘亚超</cp:lastModifiedBy>
  <dcterms:modified xsi:type="dcterms:W3CDTF">2019-01-02T07:45:22Z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