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780" w:hRule="atLeast"/>
        </w:trPr>
        <w:tc>
          <w:tcPr>
            <w:tcW w:w="8306" w:type="dxa"/>
            <w:shd w:val="clear"/>
            <w:vAlign w:val="center"/>
          </w:tcPr>
          <w:p>
            <w:pPr>
              <w:keepNext w:val="0"/>
              <w:keepLines w:val="0"/>
              <w:widowControl/>
              <w:suppressLineNumbers w:val="0"/>
              <w:spacing w:line="720" w:lineRule="atLeast"/>
              <w:jc w:val="center"/>
              <w:rPr>
                <w:rFonts w:ascii="helvetica" w:hAnsi="helvetica" w:eastAsia="helvetica" w:cs="helvetica"/>
                <w:b/>
                <w:color w:val="000000"/>
                <w:sz w:val="30"/>
                <w:szCs w:val="30"/>
              </w:rPr>
            </w:pPr>
            <w:bookmarkStart w:id="0" w:name="_GoBack"/>
            <w:r>
              <w:rPr>
                <w:rFonts w:hint="default" w:ascii="helvetica" w:hAnsi="helvetica" w:eastAsia="helvetica" w:cs="helvetica"/>
                <w:b/>
                <w:color w:val="000000"/>
                <w:kern w:val="0"/>
                <w:sz w:val="30"/>
                <w:szCs w:val="30"/>
                <w:lang w:val="en-US" w:eastAsia="zh-CN" w:bidi="ar"/>
              </w:rPr>
              <w:t>《基金会名称管理规定》</w:t>
            </w:r>
            <w:bookmarkEnd w:id="0"/>
            <w:r>
              <w:rPr>
                <w:rFonts w:hint="default" w:ascii="helvetica" w:hAnsi="helvetica" w:eastAsia="helvetica" w:cs="helvetica"/>
                <w:b/>
                <w:color w:val="000000"/>
                <w:kern w:val="0"/>
                <w:sz w:val="30"/>
                <w:szCs w:val="30"/>
                <w:lang w:val="en-US" w:eastAsia="zh-CN" w:bidi="ar"/>
              </w:rPr>
              <w:t xml:space="preserve"> </w:t>
            </w:r>
          </w:p>
        </w:tc>
      </w:tr>
    </w:tbl>
    <w:p>
      <w:pPr>
        <w:rPr>
          <w:vanish/>
          <w:sz w:val="24"/>
          <w:szCs w:val="24"/>
        </w:rPr>
      </w:pPr>
    </w:p>
    <w:tbl>
      <w:tblPr>
        <w:tblW w:w="8606" w:type="dxa"/>
        <w:tblInd w:w="0" w:type="dxa"/>
        <w:shd w:val="clear"/>
        <w:tblLayout w:type="fixed"/>
        <w:tblCellMar>
          <w:top w:w="0" w:type="dxa"/>
          <w:left w:w="0" w:type="dxa"/>
          <w:bottom w:w="150" w:type="dxa"/>
          <w:right w:w="0" w:type="dxa"/>
        </w:tblCellMar>
      </w:tblPr>
      <w:tblGrid>
        <w:gridCol w:w="8606"/>
      </w:tblGrid>
      <w:tr>
        <w:tblPrEx>
          <w:shd w:val="clear"/>
          <w:tblLayout w:type="fixed"/>
          <w:tblCellMar>
            <w:top w:w="0" w:type="dxa"/>
            <w:left w:w="0" w:type="dxa"/>
            <w:bottom w:w="150" w:type="dxa"/>
            <w:right w:w="0" w:type="dxa"/>
          </w:tblCellMar>
        </w:tblPrEx>
        <w:tc>
          <w:tcPr>
            <w:tcW w:w="8606" w:type="dxa"/>
            <w:shd w:val="clear"/>
            <w:tcMar>
              <w:top w:w="150" w:type="dxa"/>
              <w:left w:w="150" w:type="dxa"/>
              <w:right w:w="150" w:type="dxa"/>
            </w:tcMar>
            <w:vAlign w:val="top"/>
          </w:tcPr>
          <w:tbl>
            <w:tblPr>
              <w:tblW w:w="8139" w:type="dxa"/>
              <w:jc w:val="center"/>
              <w:tblInd w:w="84" w:type="dxa"/>
              <w:shd w:val="clear"/>
              <w:tblLayout w:type="fixed"/>
              <w:tblCellMar>
                <w:top w:w="75" w:type="dxa"/>
                <w:left w:w="75" w:type="dxa"/>
                <w:bottom w:w="75" w:type="dxa"/>
                <w:right w:w="75" w:type="dxa"/>
              </w:tblCellMar>
            </w:tblPr>
            <w:tblGrid>
              <w:gridCol w:w="8139"/>
            </w:tblGrid>
            <w:tr>
              <w:tblPrEx>
                <w:shd w:val="clear"/>
                <w:tblLayout w:type="fixed"/>
                <w:tblCellMar>
                  <w:top w:w="75" w:type="dxa"/>
                  <w:left w:w="75" w:type="dxa"/>
                  <w:bottom w:w="75" w:type="dxa"/>
                  <w:right w:w="75" w:type="dxa"/>
                </w:tblCellMar>
              </w:tblPrEx>
              <w:trPr>
                <w:jc w:val="center"/>
              </w:trPr>
              <w:tc>
                <w:tcPr>
                  <w:tcW w:w="8139" w:type="dxa"/>
                  <w:shd w:val="clear"/>
                  <w:vAlign w:val="center"/>
                </w:tcPr>
                <w:p>
                  <w:pPr>
                    <w:pStyle w:val="2"/>
                    <w:keepNext w:val="0"/>
                    <w:keepLines w:val="0"/>
                    <w:widowControl/>
                    <w:suppressLineNumbers w:val="0"/>
                    <w:jc w:val="center"/>
                  </w:pPr>
                  <w:r>
                    <w:rPr>
                      <w:rStyle w:val="4"/>
                      <w:rFonts w:hint="default" w:ascii="helvetica" w:hAnsi="helvetica" w:eastAsia="helvetica" w:cs="helvetica"/>
                      <w:color w:val="666666"/>
                      <w:sz w:val="21"/>
                      <w:szCs w:val="21"/>
                      <w:bdr w:val="none" w:color="auto" w:sz="0" w:space="0"/>
                    </w:rPr>
                    <w:t> 中华人民共和国民政部令第26号</w:t>
                  </w:r>
                  <w:r>
                    <w:rPr>
                      <w:rStyle w:val="4"/>
                      <w:rFonts w:hint="default" w:ascii="helvetica" w:hAnsi="helvetica" w:eastAsia="helvetica" w:cs="helvetica"/>
                      <w:color w:val="666666"/>
                      <w:sz w:val="21"/>
                      <w:szCs w:val="21"/>
                      <w:bdr w:val="none" w:color="auto" w:sz="0" w:space="0"/>
                    </w:rPr>
                    <w:br w:type="textWrapping"/>
                  </w:r>
                  <w:r>
                    <w:rPr>
                      <w:rStyle w:val="4"/>
                      <w:rFonts w:hint="default" w:ascii="helvetica" w:hAnsi="helvetica" w:eastAsia="helvetica" w:cs="helvetica"/>
                      <w:color w:val="666666"/>
                      <w:sz w:val="21"/>
                      <w:szCs w:val="21"/>
                      <w:bdr w:val="none" w:color="auto" w:sz="0" w:space="0"/>
                    </w:rPr>
                    <w:t>基金会名称管理规定</w:t>
                  </w:r>
                  <w:r>
                    <w:rPr>
                      <w:rStyle w:val="4"/>
                      <w:rFonts w:hint="default" w:ascii="helvetica" w:hAnsi="helvetica" w:eastAsia="helvetica" w:cs="helvetica"/>
                      <w:color w:val="666666"/>
                      <w:sz w:val="21"/>
                      <w:szCs w:val="21"/>
                      <w:bdr w:val="none" w:color="auto" w:sz="0" w:space="0"/>
                    </w:rPr>
                    <w:br w:type="textWrapping"/>
                  </w:r>
                  <w:r>
                    <w:rPr>
                      <w:rStyle w:val="4"/>
                      <w:rFonts w:hint="default" w:ascii="helvetica" w:hAnsi="helvetica" w:eastAsia="helvetica" w:cs="helvetica"/>
                      <w:color w:val="666666"/>
                      <w:sz w:val="21"/>
                      <w:szCs w:val="21"/>
                      <w:bdr w:val="none" w:color="auto" w:sz="0" w:space="0"/>
                    </w:rPr>
                    <w:t>2004年6月21日</w:t>
                  </w:r>
                </w:p>
                <w:p>
                  <w:pPr>
                    <w:pStyle w:val="2"/>
                    <w:keepNext w:val="0"/>
                    <w:keepLines w:val="0"/>
                    <w:widowControl/>
                    <w:suppressLineNumbers w:val="0"/>
                    <w:jc w:val="left"/>
                  </w:pPr>
                  <w:r>
                    <w:rPr>
                      <w:rFonts w:hint="default" w:ascii="helvetica" w:hAnsi="helvetica" w:eastAsia="helvetica" w:cs="helvetica"/>
                      <w:color w:val="666666"/>
                      <w:sz w:val="21"/>
                      <w:szCs w:val="21"/>
                      <w:bdr w:val="none" w:color="auto" w:sz="0" w:space="0"/>
                    </w:rPr>
                    <w:t>第一条 为了规范对基金会名称的管理，保护基金会的合法权益，根据《基金会管理条例》及有关法律、法规，制定本规定。</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第二条  本规定适用于按照《基金会管理条例》设立的基金会。</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第三条 基金会名称应当反映公益活动的业务范围。</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基金会的名称应当依次包括字号、公益活动的业务范围，并以“基金会”字样结束。</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公募基金会的名称可以不使用字号。</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第四条  全国性公募基金会应当在名称中使用“中国”、“中华”、“全国”、“国家”等字样。非公募基金会不得使用上述字样。</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地方性公募基金会和省、自治区、直辖市人民政府民政部门登记的非公募基金会应当冠以所在地的县级或县级以上行政区划名称。冠以省级以下行政区划名称的，可以同时冠以所在省、自治区、直辖市的名称。冠以市辖区名称的，应当同时冠以市的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第五条 基金会的字号应当由2个以上的字组成。</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基金会不得使用姓氏、县或县以上行政区划名称作为字号。</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第六条 公募基金会的字号不得使用自然人姓名、法人或者其他组织的名称或者字号。</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第七条 非公募基金会的字号可以使用自然人姓名、法人或其他组织的名称或者字号，但应当符合以下规定：</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（一）使用自然人姓名、法人或者其他组织的名称或者字号，需经该自然人、法人或其他组织同意；（二）不得使用曾因犯罪被判处剥夺政治权利的自然人的姓名；</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（三）一般不使用党和国家领导人、老一辈革命家的姓名。</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第八条 基金会使用已故名人的姓名作为字号，该名人必须是在相关公益领域内有重大贡献、在国际国内享有盛誉的杰出人物。</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第九条 基金会名称应当使用符合国家规范的汉字。</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在自治区人民政府民政部门登记的基金会，其名称可以同时使用本民族自治地方通用的民族文字。</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基金会名称需译成外文使用的，应当按照文字翻译的原则翻译使用，不需报登记管理机关核准。</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第十条   基金会名称不得含有下列内容和文字：</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（一）有损于国家、社会公共利益的；</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（二）可能对公众造成欺骗或者引起公众误解的；</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（三）有迷信色彩的；</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（四）外国国家(地区)名称、国际组织名称；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（五）政党名称、国家机关名称及部队番号；</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（六）其他基金会的名称；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（七）外国文字、汉语拼音字母、数字；</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（八）其他法律、行政法规规定禁止的。</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第十一条 基金会不得使用下列名称：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（一）已被登记管理机关撤销登记，自撤销登记之日起未满3年的基金会的名称；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（二）已注销登记，自注销登记之日起未满3年的基金会的名称；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（三）已变更名称，自变更登记之日起未满1年的基金会的原名称。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第十二条 登记管理机关可以纠正已登记的不适宜的基金会名称。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第十三条 两个及两个以上申请人向同一登记管理机关申请登记相同的基金会名称，登记管理机关依照申请在先原则核定。</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第十四条 基金会的分支机构、代表机构的名称应当冠以其所从属的基金会名称。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第十五条 境外基金会代表机构的名称应当依次由“基金会名称”、“驻在地名称”、“代表处（或办事处、联络处等）”组成。</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“驻在地名称”是指境外基金会代表机构驻在地的县或县以上行政区划名称。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境外基金会名称中未表明其原始登记地（国家或地区）的，应在其代表机构名称前冠以原始登记地（国家或地区）的名称。</w:t>
                  </w:r>
                  <w:r>
                    <w:rPr>
                      <w:rFonts w:hint="default" w:ascii="helvetica" w:hAnsi="helvetica" w:eastAsia="helvetica" w:cs="helvetica"/>
                      <w:color w:val="666666"/>
                      <w:sz w:val="21"/>
                      <w:szCs w:val="21"/>
                      <w:bdr w:val="none" w:color="auto" w:sz="0" w:space="0"/>
                    </w:rPr>
                    <w:br w:type="textWrapping"/>
                  </w:r>
                  <w:r>
                    <w:rPr>
                      <w:rFonts w:hint="default" w:ascii="helvetica" w:hAnsi="helvetica" w:eastAsia="helvetica" w:cs="helvetica"/>
                      <w:color w:val="666666"/>
                      <w:sz w:val="21"/>
                      <w:szCs w:val="21"/>
                      <w:bdr w:val="none" w:color="auto" w:sz="0" w:space="0"/>
                    </w:rPr>
                    <w:t>第十六条   本规定自2004年6月7日起施行</w:t>
                  </w:r>
                </w:p>
              </w:tc>
            </w:tr>
          </w:tbl>
          <w:p>
            <w:pPr>
              <w:jc w:val="left"/>
              <w:rPr>
                <w:rFonts w:hint="default" w:ascii="helvetica" w:hAnsi="helvetica" w:eastAsia="helvetica" w:cs="helvetica"/>
                <w:color w:val="66666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C600C"/>
    <w:rsid w:val="528C60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1982D1"/>
      <w:sz w:val="21"/>
      <w:szCs w:val="21"/>
      <w:u w:val="none"/>
    </w:rPr>
  </w:style>
  <w:style w:type="character" w:styleId="6">
    <w:name w:val="Hyperlink"/>
    <w:basedOn w:val="3"/>
    <w:uiPriority w:val="0"/>
    <w:rPr>
      <w:color w:val="1982D1"/>
      <w:sz w:val="21"/>
      <w:szCs w:val="21"/>
      <w:u w:val="none"/>
    </w:rPr>
  </w:style>
  <w:style w:type="character" w:customStyle="1" w:styleId="8">
    <w:name w:val="item-name"/>
    <w:basedOn w:val="3"/>
    <w:uiPriority w:val="0"/>
    <w:rPr>
      <w:bdr w:val="none" w:color="auto" w:sz="0" w:space="0"/>
    </w:rPr>
  </w:style>
  <w:style w:type="character" w:customStyle="1" w:styleId="9">
    <w:name w:val="item-name1"/>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2018-09-10T03:26:00Z</dcterms:created>
  <dc:creator>刘亚超</dc:creator>
  <cp:lastModifiedBy>刘亚超</cp:lastModifiedBy>
  <dcterms:modified xsi:type="dcterms:W3CDTF">2018-09-10T03:26:50Z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