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8336" w:type="dxa"/>
            <w:shd w:val="clear"/>
            <w:vAlign w:val="center"/>
          </w:tcPr>
          <w:p>
            <w:pPr>
              <w:keepNext w:val="0"/>
              <w:keepLines w:val="0"/>
              <w:widowControl/>
              <w:suppressLineNumbers w:val="0"/>
              <w:spacing w:after="0" w:afterAutospacing="0" w:line="240" w:lineRule="auto"/>
              <w:ind w:left="0" w:firstLine="0"/>
              <w:jc w:val="center"/>
              <w:rPr>
                <w:rFonts w:ascii="&amp;quot" w:hAnsi="&amp;quot" w:eastAsia="&amp;quot" w:cs="&amp;quot"/>
                <w:i w:val="0"/>
                <w:caps w:val="0"/>
                <w:color w:val="E67817"/>
                <w:spacing w:val="0"/>
                <w:sz w:val="28"/>
                <w:szCs w:val="28"/>
                <w:u w:val="none"/>
              </w:rPr>
            </w:pPr>
            <w:r>
              <w:rPr>
                <w:rFonts w:hint="default" w:ascii="&amp;quot" w:hAnsi="&amp;quot" w:eastAsia="&amp;quot" w:cs="&amp;quot"/>
                <w:i w:val="0"/>
                <w:caps w:val="0"/>
                <w:color w:val="E67817"/>
                <w:spacing w:val="0"/>
                <w:kern w:val="0"/>
                <w:sz w:val="28"/>
                <w:szCs w:val="28"/>
                <w:u w:val="none"/>
                <w:lang w:val="en-US" w:eastAsia="zh-CN" w:bidi="ar"/>
              </w:rPr>
              <w:t xml:space="preserve">民政部 </w:t>
            </w:r>
            <w:bookmarkStart w:id="0" w:name="_GoBack"/>
            <w:r>
              <w:rPr>
                <w:rFonts w:hint="default" w:ascii="&amp;quot" w:hAnsi="&amp;quot" w:eastAsia="&amp;quot" w:cs="&amp;quot"/>
                <w:i w:val="0"/>
                <w:caps w:val="0"/>
                <w:color w:val="E67817"/>
                <w:spacing w:val="0"/>
                <w:kern w:val="0"/>
                <w:sz w:val="28"/>
                <w:szCs w:val="28"/>
                <w:u w:val="none"/>
                <w:lang w:val="en-US" w:eastAsia="zh-CN" w:bidi="ar"/>
              </w:rPr>
              <w:t xml:space="preserve">关于基金会等社会组织不得提供公益捐赠回扣有关问题的通知 </w:t>
            </w:r>
            <w:bookmarkEnd w:id="0"/>
          </w:p>
        </w:tc>
      </w:tr>
    </w:tbl>
    <w:p>
      <w:pPr>
        <w:rPr>
          <w:vanish/>
          <w:sz w:val="28"/>
          <w:szCs w:val="28"/>
        </w:rPr>
      </w:pP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8336" w:type="dxa"/>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both"/>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（民发【2009】54号）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both"/>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各业务主管单位：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both"/>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自2004年《基金会管理条例》实施以来，基金会积极筹集资金，努力规范运作，通过多种措施加大捐赠资金募集和使用的公开透明，不断提高公益捐赠资金的使用效益和管理水平，推动了公益慈善事业的发展。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both"/>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为了进一步规范基金会的募集和接受公益捐赠行为，严格管理和使用好公益资金，现通知如下：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both"/>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一、基金会接受的公益捐赠必须依照有关法律法规的规定用于公益目的。不得在接受的公益捐赠中提取回扣返还捐赠人或帮助筹集捐赠的个人或组织。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both"/>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二、按照捐赠协议，基金会可以在接受的公益捐赠中列支公益项目成本，项目成本必须是直接用于实施公益项目的费用，属于公益支出。基金会应当有效控制公益项目的成本，尽可能将公益捐赠更多地直接用于受助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both"/>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三、基金会应当加大信息公开的力度，向捐赠人公开，并向社会公示公益捐赠的支出使用情况，接受捐赠人和公众的监督和评价。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both"/>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今后，登记管理机关将加强对基金会捐赠使用的监管。一旦发现有提供回扣的情形，将依法严肃处理。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both"/>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社会团体和民办非企业单位接收公益捐赠，依照以上精神执行。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right"/>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中华人民共和国民政部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firstLine="180"/>
              <w:jc w:val="right"/>
              <w:rPr>
                <w:rFonts w:hint="default" w:ascii="&amp;quot" w:hAnsi="&amp;quot" w:eastAsia="&amp;quot" w:cs="&amp;quot"/>
                <w:sz w:val="28"/>
                <w:szCs w:val="28"/>
              </w:rPr>
            </w:pPr>
            <w:r>
              <w:rPr>
                <w:rFonts w:hint="default" w:ascii="&amp;quot" w:hAnsi="&amp;quot" w:eastAsia="&amp;quot" w:cs="&amp;quot"/>
                <w:i w:val="0"/>
                <w:caps w:val="0"/>
                <w:color w:val="4C4C4C"/>
                <w:spacing w:val="0"/>
                <w:sz w:val="28"/>
                <w:szCs w:val="28"/>
                <w:u w:val="none"/>
                <w:bdr w:val="none" w:color="auto" w:sz="0" w:space="0"/>
              </w:rPr>
              <w:t>二〇〇九年四月二十一日</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95B51"/>
    <w:rsid w:val="6D535020"/>
    <w:rsid w:val="7F29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2018-10-08T07:29:00Z</dcterms:created>
  <dc:creator>刘亚超</dc:creator>
  <cp:lastModifiedBy>刘亚超</cp:lastModifiedBy>
  <dcterms:modified xsi:type="dcterms:W3CDTF">2018-10-08T07:29:22Z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