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278" w:hRule="atLeast"/>
                <w:tblCellSpacing w:w="0" w:type="dxa"/>
              </w:trPr>
              <w:tc>
                <w:tcPr>
                  <w:tcW w:w="8306" w:type="dxa"/>
                  <w:shd w:val="clear"/>
                  <w:vAlign w:val="center"/>
                </w:tcPr>
                <w:p>
                  <w:pPr>
                    <w:keepNext w:val="0"/>
                    <w:keepLines w:val="0"/>
                    <w:widowControl/>
                    <w:suppressLineNumbers w:val="0"/>
                    <w:spacing w:before="0" w:beforeAutospacing="0" w:after="0" w:afterAutospacing="0" w:line="320" w:lineRule="atLeast"/>
                    <w:ind w:left="0" w:right="0"/>
                    <w:jc w:val="center"/>
                    <w:rPr>
                      <w:rFonts w:hint="eastAsia" w:ascii="微软雅黑" w:hAnsi="微软雅黑" w:eastAsia="微软雅黑" w:cs="微软雅黑"/>
                      <w:b/>
                      <w:color w:val="185895"/>
                      <w:sz w:val="28"/>
                      <w:szCs w:val="28"/>
                    </w:rPr>
                  </w:pPr>
                  <w:r>
                    <w:rPr>
                      <w:rFonts w:hint="eastAsia" w:ascii="微软雅黑" w:hAnsi="微软雅黑" w:eastAsia="微软雅黑" w:cs="微软雅黑"/>
                      <w:b/>
                      <w:color w:val="185895"/>
                      <w:kern w:val="0"/>
                      <w:sz w:val="28"/>
                      <w:szCs w:val="28"/>
                      <w:lang w:val="en-US" w:eastAsia="zh-CN" w:bidi="ar"/>
                    </w:rPr>
                    <w:t>关于公益股权捐赠企业所得税政策问题的</w:t>
                  </w:r>
                  <w:bookmarkStart w:id="0" w:name="_GoBack"/>
                  <w:bookmarkEnd w:id="0"/>
                  <w:r>
                    <w:rPr>
                      <w:rFonts w:hint="eastAsia" w:ascii="微软雅黑" w:hAnsi="微软雅黑" w:eastAsia="微软雅黑" w:cs="微软雅黑"/>
                      <w:b/>
                      <w:color w:val="185895"/>
                      <w:kern w:val="0"/>
                      <w:sz w:val="28"/>
                      <w:szCs w:val="28"/>
                      <w:lang w:val="en-US" w:eastAsia="zh-CN" w:bidi="ar"/>
                    </w:rPr>
                    <w:t xml:space="preserve">通知 </w:t>
                  </w:r>
                </w:p>
              </w:tc>
            </w:tr>
          </w:tbl>
          <w:p>
            <w:pPr>
              <w:rPr>
                <w:rFonts w:hint="eastAsia" w:ascii="微软雅黑" w:hAnsi="微软雅黑" w:eastAsia="微软雅黑" w:cs="微软雅黑"/>
                <w:vanish/>
                <w:sz w:val="28"/>
                <w:szCs w:val="28"/>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8" w:hRule="atLeast"/>
                <w:tblCellSpacing w:w="0" w:type="dxa"/>
                <w:hidden/>
              </w:trPr>
              <w:tc>
                <w:tcPr>
                  <w:tcW w:w="8306" w:type="dxa"/>
                  <w:shd w:val="clear"/>
                  <w:vAlign w:val="center"/>
                </w:tcPr>
                <w:p>
                  <w:pPr>
                    <w:keepNext w:val="0"/>
                    <w:keepLines w:val="0"/>
                    <w:widowControl/>
                    <w:suppressLineNumbers w:val="0"/>
                    <w:spacing w:line="160" w:lineRule="atLeast"/>
                    <w:jc w:val="center"/>
                    <w:rPr>
                      <w:rFonts w:hint="eastAsia" w:ascii="微软雅黑" w:hAnsi="微软雅黑" w:eastAsia="微软雅黑" w:cs="微软雅黑"/>
                      <w:color w:val="99C2E2"/>
                      <w:sz w:val="28"/>
                      <w:szCs w:val="28"/>
                    </w:rPr>
                  </w:pPr>
                  <w:r>
                    <w:rPr>
                      <w:rFonts w:hint="eastAsia" w:ascii="微软雅黑" w:hAnsi="微软雅黑" w:eastAsia="微软雅黑" w:cs="微软雅黑"/>
                      <w:vanish/>
                      <w:sz w:val="28"/>
                      <w:szCs w:val="28"/>
                    </w:rPr>
                    <w:pict>
                      <v:rect id="_x0000_i1025" o:spt="1" style="height:1.5pt;width:262.5pt;" fillcolor="#99C2E2" filled="t" stroked="f" coordsize="21600,21600" o:hr="t" o:hrstd="t" o:hrnoshade="t" o:hrpct="0" o:hralign="center">
                        <v:path/>
                        <v:fill on="t" focussize="0,0"/>
                        <v:stroke on="f"/>
                        <v:imagedata o:title=""/>
                        <o:lock v:ext="edit"/>
                        <w10:wrap type="none"/>
                        <w10:anchorlock/>
                      </v:rect>
                    </w:pict>
                  </w:r>
                </w:p>
              </w:tc>
            </w:tr>
          </w:tbl>
          <w:p>
            <w:pPr>
              <w:rPr>
                <w:rFonts w:hint="eastAsia" w:ascii="微软雅黑" w:hAnsi="微软雅黑" w:eastAsia="微软雅黑" w:cs="微软雅黑"/>
                <w:vanish/>
                <w:sz w:val="28"/>
                <w:szCs w:val="28"/>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jc w:val="left"/>
                    <w:rPr>
                      <w:rFonts w:hint="eastAsia" w:ascii="微软雅黑" w:hAnsi="微软雅黑" w:eastAsia="微软雅黑" w:cs="微软雅黑"/>
                      <w:sz w:val="28"/>
                      <w:szCs w:val="28"/>
                    </w:rPr>
                  </w:pPr>
                </w:p>
              </w:tc>
            </w:tr>
          </w:tbl>
          <w:p>
            <w:pPr>
              <w:jc w:val="left"/>
              <w:rPr>
                <w:rFonts w:hint="eastAsia" w:ascii="微软雅黑" w:hAnsi="微软雅黑" w:eastAsia="微软雅黑" w:cs="微软雅黑"/>
                <w:i w:val="0"/>
                <w:caps w:val="0"/>
                <w:color w:val="000000"/>
                <w:spacing w:val="0"/>
                <w:sz w:val="28"/>
                <w:szCs w:val="28"/>
                <w:u w:val="none"/>
              </w:rPr>
            </w:pPr>
          </w:p>
        </w:tc>
      </w:tr>
      <w:tr>
        <w:tblPrEx>
          <w:shd w:val="clear"/>
          <w:tblLayout w:type="fixed"/>
          <w:tblCellMar>
            <w:top w:w="0" w:type="dxa"/>
            <w:left w:w="0" w:type="dxa"/>
            <w:bottom w:w="0" w:type="dxa"/>
            <w:right w:w="0" w:type="dxa"/>
          </w:tblCellMar>
        </w:tblPrEx>
        <w:trPr>
          <w:tblCellSpacing w:w="0" w:type="dxa"/>
        </w:trPr>
        <w:tc>
          <w:tcPr>
            <w:tcW w:w="8306" w:type="dxa"/>
            <w:shd w:val="clear"/>
            <w:vAlign w:val="center"/>
          </w:tcPr>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570" w:hRule="atLeast"/>
                <w:tblCellSpacing w:w="0" w:type="dxa"/>
              </w:trPr>
              <w:tc>
                <w:tcPr>
                  <w:tcW w:w="8306" w:type="dxa"/>
                  <w:shd w:val="clear" w:color="auto" w:fill="FFFFFF"/>
                  <w:vAlign w:val="top"/>
                </w:tcPr>
                <w:tbl>
                  <w:tblPr>
                    <w:tblW w:w="7060" w:type="dxa"/>
                    <w:jc w:val="center"/>
                    <w:tblCellSpacing w:w="0" w:type="dxa"/>
                    <w:tblInd w:w="623" w:type="dxa"/>
                    <w:shd w:val="clear"/>
                    <w:tblLayout w:type="fixed"/>
                    <w:tblCellMar>
                      <w:top w:w="0" w:type="dxa"/>
                      <w:left w:w="0" w:type="dxa"/>
                      <w:bottom w:w="0" w:type="dxa"/>
                      <w:right w:w="0" w:type="dxa"/>
                    </w:tblCellMar>
                  </w:tblPr>
                  <w:tblGrid>
                    <w:gridCol w:w="7060"/>
                  </w:tblGrid>
                  <w:tr>
                    <w:tblPrEx>
                      <w:shd w:val="clear"/>
                      <w:tblLayout w:type="fixed"/>
                      <w:tblCellMar>
                        <w:top w:w="0" w:type="dxa"/>
                        <w:left w:w="0" w:type="dxa"/>
                        <w:bottom w:w="0" w:type="dxa"/>
                        <w:right w:w="0" w:type="dxa"/>
                      </w:tblCellMar>
                    </w:tblPrEx>
                    <w:trPr>
                      <w:tblCellSpacing w:w="0" w:type="dxa"/>
                      <w:jc w:val="center"/>
                    </w:trPr>
                    <w:tc>
                      <w:tcPr>
                        <w:tcW w:w="7060" w:type="dxa"/>
                        <w:shd w:val="clear"/>
                        <w:vAlign w:val="center"/>
                      </w:tcPr>
                      <w:p>
                        <w:pPr>
                          <w:pStyle w:val="2"/>
                          <w:keepNext w:val="0"/>
                          <w:keepLines w:val="0"/>
                          <w:widowControl/>
                          <w:suppressLineNumbers w:val="0"/>
                          <w:spacing w:line="220" w:lineRule="atLeas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财税〔2016〕45号</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各省、自治区、直辖市、计划单列市财政厅（局）、国家税务局、地方税务局，新疆生产建设兵团财务局：</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为支持和鼓励公益事业发展，根据《中华人民共和国企业所得税法》及其实施条例有关规定，经国务院批准，现将股权捐赠企业所得税政策问题通知如下：</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一、企业向公益性社会团体实施的股权捐赠，应按规定视同转让股权，股权转让收入额以企业所捐赠股权取得时的历史成本确定。</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前款所称的股权，是指企业持有的其他企业的股权、上市公司股票等。</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二、企业实施股权捐赠后，以其股权历史成本为依据确定捐赠额，并依此按照企业所得税法有关规定在所得税前予以扣除。公益性社会团体接受股权捐赠后，应按照捐赠企业提供的股权历史成本开具捐赠票据。</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三、本通知所称公益性社会团体，是指注册在中华人民共和国境内，以发展公益事业为宗旨、且不以营利为目的，并经确定为具有接受捐赠税前扣除资格的基金会、慈善组织等公益性社会团体。</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四、本通知所称股权捐赠行为，是指企业向中华人民共和国境内公益性社会团体实施的股权捐赠行为。企业向中华人民共和国境外的社会组织或团体实施的股权捐赠行为不适用本通知规定。</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五、本通知自2016年1月1日起执行。</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本通知发布前企业尚未进行税收处理的股权捐赠行为，符合本通知规定条件的可比照本通知执行，已经进行相关税收处理的不再进行税收调整。</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请遵照执行。</w:t>
                        </w:r>
                      </w:p>
                      <w:p>
                        <w:pPr>
                          <w:pStyle w:val="2"/>
                          <w:keepNext w:val="0"/>
                          <w:keepLines w:val="0"/>
                          <w:widowControl/>
                          <w:suppressLineNumbers w:val="0"/>
                          <w:spacing w:line="220" w:lineRule="atLeast"/>
                          <w:jc w:val="both"/>
                          <w:rPr>
                            <w:rFonts w:hint="eastAsia" w:ascii="微软雅黑" w:hAnsi="微软雅黑" w:eastAsia="微软雅黑" w:cs="微软雅黑"/>
                            <w:sz w:val="28"/>
                            <w:szCs w:val="28"/>
                          </w:rPr>
                        </w:pPr>
                        <w:r>
                          <w:rPr>
                            <w:rFonts w:hint="eastAsia" w:ascii="微软雅黑" w:hAnsi="微软雅黑" w:eastAsia="微软雅黑" w:cs="微软雅黑"/>
                            <w:sz w:val="28"/>
                            <w:szCs w:val="28"/>
                          </w:rPr>
                          <w:t>　　</w:t>
                        </w:r>
                      </w:p>
                      <w:p>
                        <w:pPr>
                          <w:pStyle w:val="2"/>
                          <w:keepNext w:val="0"/>
                          <w:keepLines w:val="0"/>
                          <w:widowControl/>
                          <w:suppressLineNumbers w:val="0"/>
                          <w:spacing w:line="220" w:lineRule="atLeast"/>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　　财政部　国家税务总局</w:t>
                        </w:r>
                      </w:p>
                      <w:p>
                        <w:pPr>
                          <w:pStyle w:val="2"/>
                          <w:keepNext w:val="0"/>
                          <w:keepLines w:val="0"/>
                          <w:widowControl/>
                          <w:suppressLineNumbers w:val="0"/>
                          <w:spacing w:line="220" w:lineRule="atLeast"/>
                          <w:jc w:val="right"/>
                          <w:rPr>
                            <w:rFonts w:hint="eastAsia" w:ascii="微软雅黑" w:hAnsi="微软雅黑" w:eastAsia="微软雅黑" w:cs="微软雅黑"/>
                            <w:sz w:val="28"/>
                            <w:szCs w:val="28"/>
                          </w:rPr>
                        </w:pPr>
                        <w:r>
                          <w:rPr>
                            <w:rFonts w:hint="eastAsia" w:ascii="微软雅黑" w:hAnsi="微软雅黑" w:eastAsia="微软雅黑" w:cs="微软雅黑"/>
                            <w:sz w:val="28"/>
                            <w:szCs w:val="28"/>
                          </w:rPr>
                          <w:t>　　2016年4月20日</w:t>
                        </w:r>
                      </w:p>
                    </w:tc>
                  </w:tr>
                </w:tbl>
                <w:p>
                  <w:pPr>
                    <w:jc w:val="center"/>
                    <w:rPr>
                      <w:rFonts w:hint="eastAsia" w:ascii="微软雅黑" w:hAnsi="微软雅黑" w:eastAsia="微软雅黑" w:cs="微软雅黑"/>
                      <w:sz w:val="28"/>
                      <w:szCs w:val="28"/>
                    </w:rPr>
                  </w:pPr>
                </w:p>
              </w:tc>
            </w:tr>
          </w:tbl>
          <w:p>
            <w:pPr>
              <w:jc w:val="left"/>
              <w:rPr>
                <w:rFonts w:hint="eastAsia" w:ascii="微软雅黑" w:hAnsi="微软雅黑" w:eastAsia="微软雅黑" w:cs="微软雅黑"/>
                <w:i w:val="0"/>
                <w:caps w:val="0"/>
                <w:color w:val="000000"/>
                <w:spacing w:val="0"/>
                <w:sz w:val="28"/>
                <w:szCs w:val="28"/>
                <w:u w:val="none"/>
              </w:rPr>
            </w:pPr>
          </w:p>
        </w:tc>
      </w:tr>
    </w:tbl>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580E6E"/>
    <w:rsid w:val="1D580E6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2018-10-08T11:06:00Z</dcterms:created>
  <dc:creator>刘亚超</dc:creator>
  <cp:lastModifiedBy>刘亚超</cp:lastModifiedBy>
  <dcterms:modified xsi:type="dcterms:W3CDTF">2018-10-08T11:06:25Z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