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i w:val="0"/>
          <w:caps w:val="0"/>
          <w:color w:val="000000" w:themeColor="text1"/>
          <w:spacing w:val="0"/>
          <w:sz w:val="28"/>
          <w:szCs w:val="28"/>
          <w:u w:val="none"/>
          <w14:textFill>
            <w14:solidFill>
              <w14:schemeClr w14:val="tx1"/>
            </w14:solidFill>
          </w14:textFill>
        </w:rPr>
      </w:pPr>
      <w:r>
        <w:rPr>
          <w:rFonts w:hint="eastAsia" w:ascii="微软雅黑" w:hAnsi="微软雅黑" w:eastAsia="微软雅黑" w:cs="微软雅黑"/>
          <w:b/>
          <w:i w:val="0"/>
          <w:caps w:val="0"/>
          <w:color w:val="000000" w:themeColor="text1"/>
          <w:spacing w:val="0"/>
          <w:sz w:val="28"/>
          <w:szCs w:val="28"/>
          <w:u w:val="none"/>
          <w:bdr w:val="none" w:color="auto" w:sz="0" w:space="0"/>
          <w14:textFill>
            <w14:solidFill>
              <w14:schemeClr w14:val="tx1"/>
            </w14:solidFill>
          </w14:textFill>
        </w:rPr>
        <w:t>中华人民共和国个人所得税法</w:t>
      </w:r>
      <w:bookmarkStart w:id="0" w:name="_GoBack"/>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hanging="36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shd w:val="clear" w:fill="F1F1F1"/>
          <w14:textFill>
            <w14:solidFill>
              <w14:schemeClr w14:val="tx1"/>
            </w14:solidFill>
          </w14:textFill>
        </w:rPr>
        <w:t>颁布单位： 全国人民代表大会常务委员会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hanging="36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shd w:val="clear" w:fill="F1F1F1"/>
          <w14:textFill>
            <w14:solidFill>
              <w14:schemeClr w14:val="tx1"/>
            </w14:solidFill>
          </w14:textFill>
        </w:rPr>
        <w:t>文号： 主席令第四十八号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hanging="36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shd w:val="clear" w:fill="F1F1F1"/>
          <w14:textFill>
            <w14:solidFill>
              <w14:schemeClr w14:val="tx1"/>
            </w14:solidFill>
          </w14:textFill>
        </w:rPr>
        <w:t>颁布日期：2018-10-01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hanging="36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shd w:val="clear" w:fill="F1F1F1"/>
          <w14:textFill>
            <w14:solidFill>
              <w14:schemeClr w14:val="tx1"/>
            </w14:solidFill>
          </w14:textFill>
        </w:rPr>
        <w:t>执行日期：2019-01-01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hanging="36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shd w:val="clear" w:fill="F1F1F1"/>
          <w14:textFill>
            <w14:solidFill>
              <w14:schemeClr w14:val="tx1"/>
            </w14:solidFill>
          </w14:textFill>
        </w:rPr>
        <w:t>时 效  性： 现行有效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hanging="36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shd w:val="clear" w:fill="F1F1F1"/>
          <w14:textFill>
            <w14:solidFill>
              <w14:schemeClr w14:val="tx1"/>
            </w14:solidFill>
          </w14:textFill>
        </w:rPr>
        <w:t>效力级别： 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(1980年9月10日第五届全国人民代表大会第三次会议通过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根据1993年10月31日第八届全国人民代表大会常务委员会第四次会议《关于修改〈中华人民共和国个人所得税法〉的决定》第一次修正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根据1999年8月30日第九届全国人民代表大会常务委员会第十一次会议《关于修改〈中华人民共和国个人所得税法〉的决定》第二次修正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根据2005年10月27日第十届全国人民代表大会常务委员会第十八次会议《关于修改〈中华人民共和国个人所得税法〉的决定》第三次修正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根据2007年6月29日第十届全国人民代表大会常务委员会第二十八次会议《关于修改〈中华人民共和国个人所得税法〉的决定》第四次修正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根据2007年12月29日第十届全国人民代表大会常务委员会第三十一次会议《关于修改〈中华人民共和国个人所得税法〉的决定》第五次修正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根据2011年6月30日第十一届全国人民代表大会常务委员会第二十一次会议《关于修改〈中华人民共和国个人所得税法〉的决定》第六次修正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根据2018年第十三届全国人大常委会第三次会议对《中华人民共和国个人所得税法修正案(草案)》进行了审议。现将《中华人民共和国个人所得税法修正案(草案)》在中国人大网公布。本修正案自2019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本修正案施行前，自2018年10月1日至2018年12月31日，纳税人的工资、薪金所得，先行以每月收入额减除费用五千元后的余额为应纳税所得额。)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center"/>
        <w:rPr>
          <w:rFonts w:hint="eastAsia" w:ascii="微软雅黑" w:hAnsi="微软雅黑" w:eastAsia="微软雅黑" w:cs="微软雅黑"/>
          <w:color w:val="000000" w:themeColor="text1"/>
          <w:sz w:val="28"/>
          <w:szCs w:val="28"/>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2018年个人所得税法修正案草案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 将第一条修改为：“在中国境内有住所，或者无住所而一个纳税年度内在中国境内居住满一百八十三天的个人，为居民个人，其从中国境内和境外取得的所得，依照本法规定缴纳个人所得税。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“在中国境内无住所又不居住，或者无住所而一个纳税年度内在中国境内居住不满一百八十三天的个人，为非居民个人，其从中国境内取得的所得，依照本法规定缴纳个人所得税。”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 将第二条第二项、第三项合并，作为第五项，修改为：“(五)经营所得”。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增加一款，作为第二款：“前款第一项至第四项所得(以下称综合所得)，居民个人按纳税年度合并计算个人所得税，非居民个人按月或者按次分项计算个人所得税;第五项至第十项所得，依照本法规定分别计算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 将第三条修改为：“个人所得税的税率：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“(一)综合所得，适用百分之三至百分之四十五的超额累进税率(税率表附后);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“(二)经营所得，适用百分之五至百分之三十五的超额累进税率(税率表附后);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“(三)利息、股息、红利所得，财产租赁所得，财产转让所得，偶然所得和其他所得，适用比例税率，税率为百分之二十。”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 在第四条第六项中的“复员费”后面增加“退役金”。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将第七项中的“退休工资、离休工资”修改为“基本养老金或者退休费、离休费”。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 将第六条修改为：“应纳税所得额的计算：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居民个人的综合所得，以每一纳税年度的收入额减除费用六万元以及专项扣除、专项附加扣除和依法确定的其他扣除后的余额，为应纳税所得额。专项扣除包括居民个人按照国家规定的范围和标准缴纳的基本养老保险、基本医疗保险、失业保险等社会保险费和住房公积金等;专项附加扣除包括子女教育、继续教育、大病医疗、住房贷款利息和住房租金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“(二)非居民个人的工资、薪金所得，以每月收入额减除费用五千元后的余额为应纳税所得额;劳务报酬所得、稿酬所得、特许权使用费所得，以每次收入额为应纳税所得额。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“(三)经营所得，以每一纳税年度的收入总额减除成本、费用以及损失后的余额，为应纳税所得额。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“(四)财产租赁所得，每次收入不超过四千元的，减除费用八百元;四千元以上的，减除百分之二十的费用，其余额为应纳税所得额。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“(五)财产转让所得，以转让财产的收入额减除财产原值和合理费用后的余额，为应纳税所得额。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“(六)利息、股息、红利所得，偶然所得和其他所得，以每次收入额为应纳税所得额。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“稿酬所得的收入额按照所取得收入的百分之七十计算。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“个人将其所得对教育事业和其他公益慈善事业捐赠的部分，按照国务院有关规定从应纳税所得中扣除。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“专项附加扣除的具体范围、标准和实施步骤，由国务院财政、税务主管部门商有关部门确定。”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六、 增加一条，作为第八条：“有下列情形之一的，税务机关有权按照合理方法进行纳税调整：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“(一)个人与其关联方之间的业务往来，不符合独立交易原则且无正当理由;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“(二)居民个人控制的，或者居民个人和居民企业共同控制的设立在实际税负明显偏低的国家(地区)的企业，无合理经营需要，对应当归属于居民个人的利润不作分配或者减少分配;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“(三)个人实施其他不具有合理商业目的的安排而获取不当税收利益。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“税务机关依照前款规定作出纳税调整，需要补征税款的，应当补征税款，并依法加收利息。”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七、 将第八条改为两条，分别作为第九条、第十条，修改为：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“第九条 个人所得税以所得人为纳税人，以支付所得的单位或者个人为扣缴义务人。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“扣缴义务人应当按照国家规定办理全员全额扣缴申报。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“纳税人有中国公民身份号码的，以中国公民身份号码为纳税人识别号;纳税人没有中国公民身份号码的，由税务机关赋予其纳税人识别号。扣缴义务人扣缴税款时，纳税人应当向扣缴义务人提供纳税人识别号。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“第十条 有下列情形之一的，纳税人应当依法办理纳税申报：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“(一)取得综合所得需要办理汇算清缴;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“(二)取得应税所得没有扣缴义务人;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“(三)扣缴义务人未扣缴税款;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“(四)取得境外所得;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“(五)因移居境外注销中国户籍;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“(六)非居民个人在中国境内从两处以上取得工资、薪金所得;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“(七)国务院规定的其他情形。”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八、 增加一条，作为第十一条：“居民个人取得综合所得按年计算个人所得税;有扣缴义务人的，由扣缴义务人按月或者按次预扣预缴税款，居民个人年度终了后需要补税或者退税的，按照规定办理汇算清缴。预扣预缴办法由国务院税务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“居民个人向扣缴义务人提供专项附加扣除信息的，扣缴义务人按月预扣预缴税款时应当按照规定予以扣除，不得拒绝。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“非居民个人取得综合所得，有扣缴义务人的，由扣缴义务人按月或者按次扣缴税款，不办理汇算清缴。”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九、 将第九条改为第十二条，修改为：“扣缴义务人每月所扣的税款，应当在次月十五日内缴入国库，并向税务机关报送纳税申报表。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“纳税人取得综合所得需要办理汇算清缴的，应当在取得所得的次年三月一日至六月三十日内办理汇算清缴。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“纳税人取得经营所得的，应当在月度或者季度终了后十五日内向税务机关报送纳税申报表，并预缴税款;次年三月三十一日前办理汇算清缴。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“纳税人取得应税所得没有扣缴义务人的，应当在取得所得的次月十五日内向税务机关报送纳税申报表，并缴纳税款。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“纳税人取得应税所得，扣缴义务人未扣缴税款的，纳税人应当在次年六月三十日前，缴纳税款;税务机关通知限期缴纳的，纳税人应当按照期限缴纳税款。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“纳税人从中国境外取得所得的，应当在取得所得的次年三月一日至六月三十日内申报纳税。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“纳税人因移居境外注销中国户籍的，应当在注销中国户籍前办理税款清算。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“非居民个人在中国境内从两处以上取得工资、薪金所得的，应当在取得所得的次月十五日内向税务机关申报纳税。”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 增加一条，作为第十三条：“纳税人办理汇算清缴退税或者扣缴义务人为纳税人办理汇算清缴退税的，税务机关审核后，按照国库管理的有关规定办理退税。”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十一、 增加一条，作为第十四条：“公安、人民银行、金融监督管理等相关部门应当协助税务机关确认纳税人的身份、银行账户信息。教育、卫生、医疗保障、民政、人力资源社会保障、住房城乡建设、人民银行、金融监督管理等相关部门应当向税务机关提供纳税人子女教育、继续教育、大病医疗、住房贷款利息、住房租金等专项附加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个人转让不动产的，税务机关应当依据不动产登记信息核验应缴的个人所得税，登记机构办理转移登记时，应当查验与该不动产转让相关的个人所得税的完税凭证。个人转让股权办理变更登记的，登记机关应当查验与该股权交易相关的个人所得税的完税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“有关部门依法将纳税人、扣缴义务人遵守本法的情况纳入信用信息系统，并实施联合激励或者惩戒。”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十二、 将第十条改为第十五条，将该条中的“外国货币”修改为“人民币以外的货币”，“国家外汇管理机关规定的外汇牌价”修改为“人民币汇率中间价”。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十三、 增加一条，作为第十八条：“纳税人、扣缴义务人和税务机关及其工作人员违反本法规定的，依照《中华人民共和国税收征收管理法》和有关法律法规的规定追究法律责任。”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十四、 将第十三条改为第十九条，修改为：“个人所得税的征收管理，依照本法和《中华人民共和国税收征收管理法》的规定执行。”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十五、 增加一条，作为第二十条：“本法所称纳税年度，自公历一月一日起至十二月三十一日止。”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十六、 将个人所得税税率表一(工资、薪金所得适用)修改为：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个人所得税税率表一(综合所得适用)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级数 全年应纳税所得额 税率(%)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1 不超过36000元的 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2 超过36000元至144000元的部分 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3 超过144000元至300000元的部分 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4 超过300000元至420000元的部分 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5 超过420000元至660000元的部分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6 超过660000元至960000元的部分 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7 超过960000元的部分 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(注1：本表所称全年应纳税所得额是指依照本法第六条的规定，居民个人取得综合所得以每一纳税年度收入额减除费用六万元以及专项扣除、专项附加扣除和依法确定的其他扣除后的余额。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注2：非居民个人取得综合所得依照本表按月换算后计算应纳税额。)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十七、 将个人所得税税率表二(个体工商户的生产、经营所得和对企事业单位的承包经营、承租经营所得适用)修改为：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个人所得税税率表二(经营所得适用)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级数 全年应纳税所得额 税率(%)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1 不超过30000元的 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2 超过30000元至90000元的部分 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3 超过90000元至300000元的部分 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4 超过300000元至500000元的部分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5 超过500000元的部分 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(注：本表所称全年应纳税所得额是指依照本法第六条的规定，以每一纳税年度的收入总额减除成本、费用以及损失后的余额。)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此外，还对个别条文作了文字修改，并对条文序号作了相应调整。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本修正案自2019年1月1日起施行。本修正案施行前，自2018年10月1日至2018年12月31日，纳税人的工资、薪金所得，先行以每月收入额减除费用五千元后的余额为应纳税所得额，依照本修正案第十六条的个人所得税税率表一(综合所得适用)按月换算后计算缴纳税款，并不再扣除附加减除费用;个体工商户的生产、经营所得，对企事业单位的承包经营、承租经营所得，先行适用本修正案第十七条的个人所得税税率表二(经营所得适用)计算缴纳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《中华人民共和国个人所得税法》根据本修正案作相应修改，重新公布。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center"/>
        <w:rPr>
          <w:rFonts w:hint="eastAsia" w:ascii="微软雅黑" w:hAnsi="微软雅黑" w:eastAsia="微软雅黑" w:cs="微软雅黑"/>
          <w:color w:val="000000" w:themeColor="text1"/>
          <w:sz w:val="28"/>
          <w:szCs w:val="28"/>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中华人民共和国个人所得税法（2011年修正版）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第一条 在中国境内有住所，或者无住所而在境内居住满一年的个人，从中国境内和境外取得的所得，依照本法规定缴纳个人所得税。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在中国境内无住所又不居住或者无住所而在境内居住不满一年的个人，从中国境内取得的所得，依照本法规定缴纳个人所得税。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第二条 下列各项个人所得，应纳个人所得税：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一、工资、薪金所得;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二、个体工商户的生产、经营所得;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三、对企事业单位的承包经营、承租经营所得;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四、劳务报酬所得;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五、稿酬所得;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六、特许权使用费所得;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七、利息、股息、红利所得;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八、财产租赁所得;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九、财产转让所得;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十、偶然所得;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十一、经国务院财政部门确定征税的其他所得。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第三条 个人所得税的税率：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一、工资、薪金所得，适用超额累进税率，税率为百分之三至百分之四十五(税率表附后)。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二、个体工商户的生产、经营所得和对企事业单位的承包经营、承租经营所得，适用百分之五至百分之三十五的超额累进税率(税率表附后)。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三、稿酬所得，适用比例税率，税率为百分之二十，并按应纳税额减征百分之三十。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四、劳务报酬所得，适用比例税率，税率为百分之二十。对劳务报酬所得一次收入畸高的，可以实行加成征收，具体办法由国务院规定。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五、特许权使用费所得，利息、股息、红利所得，财产租赁所得，财产转让所得，偶然所得和其他所得，适用比例税率，税率为百分之二十。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第四条 下列各项个人所得，免纳个人所得税：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一、省级人民政府、国务院部委和中国人民解放军军以上单位，以及外国组织、国际组织颁发的科学、教育、技术、文化、卫生、体育、环境保护等方面的奖金;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二、国债和国家发行的金融债券利息;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三、按照国家统一规定发给的补贴、津贴;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四、福利费、抚恤金、救济金;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五、保险赔款;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六、军人的转业费、复员费;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七、按照国家统一规定发给干部、职工的安家费、退职费、退休工资、离休工资、离休生活补助费;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八、依照我国有关法律规定应予免税的各国驻华使馆、领事馆的外交代表、领事官员和其他人员的所得;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九、中国政府参加的国际公约、签订的协议中规定免税的所得;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十、经国务院财政部门批准免税的所得。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第五条 有下列情形之一的，经批准可以减征个人所得税：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一、残疾、孤老人员和烈属的所得;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二、因严重自然灾害造成重大损失的;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三、其他经国务院财政部门批准减税的。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第六条 应纳税所得额的计算：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一、工资、薪金所得，以每月收入额减除费用三千五百元后的余额，为应纳税所得额。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二、个体工商户的生产、经营所得，以每一纳税年度的收入总额减除成本、费用以及损失后的余额，为应纳税所得额。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三、对企事业单位的承包经营、承租经营所得，以每一纳税年度的收入总额，减除必要费用后的余额，为应纳税所得额。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四、劳务报酬所得、稿酬所得、特许权使用费所得、财产租赁所得，每次收入不超过四千元的，减除费用八百元;四千元以上的，减除百分之二十的费用，其余额为应纳税所得额。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五、财产转让所得，以转让财产的收入额减除财产原值和合理费用后的余额，为应纳税所得额。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六、利息、股息、红利所得，偶然所得和其他所得，以每次收入额为应纳税所得额。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个人将其所得对教育事业和其他公益事业捐赠的部分，按照国务院有关规定从应纳税所得中扣除。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第七条纳税义务人从中国境外取得的所得，准予其在应纳税额中扣除已在境外缴纳的个人所得税税额。但扣除额不得超过该纳税义务人境外所得依照本法规定计算的应纳税额。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八条个人所得税，以所得人为纳税义务人，以支付所得的单位或者个人为扣缴义务人。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第九条扣缴义务人每月所扣的税款，自行申报纳税人每月应纳的税款，都应当在次月十五日内缴入国库，并向税务机关报送纳税申报表。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工资、薪金所得应纳的税款，按月计征，由扣缴义务人或者纳税义务人在次月十五日内缴入国库，并向税务机关报送纳税申报表。特定行业的工资、薪金所得应纳的税款，可以实行按年计算、分月预缴的方式计征，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个体工商户的生产、经营所得应纳的税款，按年计算，分月预缴，由纳税义务人在次月十五日内预缴，年度终了后三个月内汇算清缴，多退少补。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从中国境外取得所得的纳税义务人，应当在年度终了后三十日内，将应纳的税款缴入国库，并向税务机关报送纳税申报表。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第十条 各项所得的计算，以人民币为单位。所得为外国货币的，按照国家外汇管理机关规定的外汇牌价折合成人民币缴纳税款。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第十一条 对扣缴义务人按照所扣缴的税款，付给百分之二的手续费。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第十二条 对储蓄存款利息所得开征、减征、停征个人所得税及其具体办法，由国务院规定。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第十三条 个人所得税的征收管理，依照《中华人民共和国税收征收管理法》的规定执行。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第十四条 国务院根据本法制定实施条例。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firstLine="24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第十五条 本法自公布之日起施行。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i w:val="0"/>
          <w:caps w:val="0"/>
          <w:color w:val="000000" w:themeColor="text1"/>
          <w:spacing w:val="0"/>
          <w:sz w:val="28"/>
          <w:szCs w:val="28"/>
          <w:u w:val="none"/>
          <w:bdr w:val="none" w:color="auto" w:sz="0" w:space="0"/>
          <w14:textFill>
            <w14:solidFill>
              <w14:schemeClr w14:val="tx1"/>
            </w14:solidFill>
          </w14:textFill>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300" w:lineRule="atLeast"/>
        <w:ind w:left="0" w:right="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u w:val="none"/>
          <w:bdr w:val="none" w:color="auto" w:sz="0" w:space="0"/>
          <w14:textFill>
            <w14:solidFill>
              <w14:schemeClr w14:val="tx1"/>
            </w14:solidFill>
          </w14:textFill>
        </w:rPr>
        <w:t>本条例生效时间为：2019.01.01,截至2018年仍然有效</w:t>
      </w:r>
    </w:p>
    <w:p>
      <w:pPr>
        <w:rPr>
          <w:rFonts w:hint="eastAsia" w:ascii="微软雅黑" w:hAnsi="微软雅黑" w:eastAsia="微软雅黑" w:cs="微软雅黑"/>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9C2A"/>
    <w:multiLevelType w:val="multilevel"/>
    <w:tmpl w:val="30E39C2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B5F8B"/>
    <w:rsid w:val="6D535020"/>
    <w:rsid w:val="79DB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2018-10-08T11:03:00Z</dcterms:created>
  <dc:creator>刘亚超</dc:creator>
  <cp:lastModifiedBy>刘亚超</cp:lastModifiedBy>
  <dcterms:modified xsi:type="dcterms:W3CDTF">2018-10-08T11:04:00Z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