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1"/>
        </w:numPr>
        <w:suppressLineNumbers w:val="0"/>
        <w:pBdr>
          <w:top w:val="none" w:color="0066CC" w:sz="0" w:space="0"/>
          <w:left w:val="none" w:color="0066CC" w:sz="0" w:space="0"/>
          <w:bottom w:val="none" w:color="0066CC" w:sz="0" w:space="0"/>
          <w:right w:val="none" w:color="0066CC" w:sz="0" w:space="0"/>
        </w:pBdr>
        <w:spacing w:before="0" w:beforeAutospacing="0" w:after="0" w:afterAutospacing="0"/>
        <w:ind w:left="0" w:right="0" w:hanging="360"/>
        <w:jc w:val="center"/>
        <w:rPr>
          <w:rFonts w:hint="eastAsia" w:ascii="楷体" w:hAnsi="楷体" w:eastAsia="楷体" w:cs="楷体"/>
          <w:color w:val="0066CC"/>
          <w:sz w:val="28"/>
          <w:szCs w:val="28"/>
          <w:u w:val="none"/>
        </w:rPr>
      </w:pPr>
      <w:bookmarkStart w:id="0" w:name="_GoBack"/>
      <w:r>
        <w:rPr>
          <w:rFonts w:hint="eastAsia" w:ascii="楷体" w:hAnsi="楷体" w:eastAsia="楷体" w:cs="楷体"/>
          <w:i w:val="0"/>
          <w:caps w:val="0"/>
          <w:color w:val="0066CC"/>
          <w:spacing w:val="0"/>
          <w:sz w:val="28"/>
          <w:szCs w:val="28"/>
          <w:u w:val="none"/>
          <w:bdr w:val="none" w:color="0066CC" w:sz="0" w:space="0"/>
          <w:shd w:val="clear" w:fill="FFFFFF"/>
        </w:rPr>
        <w:t>财政部 国家税务总局</w:t>
      </w:r>
    </w:p>
    <w:p>
      <w:pPr>
        <w:keepNext w:val="0"/>
        <w:keepLines w:val="0"/>
        <w:widowControl/>
        <w:numPr>
          <w:ilvl w:val="0"/>
          <w:numId w:val="1"/>
        </w:numPr>
        <w:suppressLineNumbers w:val="0"/>
        <w:pBdr>
          <w:top w:val="none" w:color="CC0000" w:sz="0" w:space="0"/>
          <w:left w:val="none" w:color="CC0000" w:sz="0" w:space="0"/>
          <w:bottom w:val="none" w:color="CC0000" w:sz="0" w:space="0"/>
          <w:right w:val="none" w:color="CC0000" w:sz="0" w:space="0"/>
        </w:pBdr>
        <w:spacing w:before="0" w:beforeAutospacing="0" w:after="0" w:afterAutospacing="0" w:line="333" w:lineRule="atLeast"/>
        <w:ind w:left="0" w:right="0" w:hanging="360"/>
        <w:jc w:val="center"/>
        <w:rPr>
          <w:rFonts w:hint="eastAsia" w:ascii="楷体" w:hAnsi="楷体" w:eastAsia="楷体" w:cs="楷体"/>
          <w:color w:val="CC0000"/>
          <w:sz w:val="28"/>
          <w:szCs w:val="28"/>
        </w:rPr>
      </w:pPr>
      <w:r>
        <w:rPr>
          <w:rFonts w:hint="eastAsia" w:ascii="楷体" w:hAnsi="楷体" w:eastAsia="楷体" w:cs="楷体"/>
          <w:i w:val="0"/>
          <w:caps w:val="0"/>
          <w:color w:val="CC0000"/>
          <w:spacing w:val="0"/>
          <w:sz w:val="28"/>
          <w:szCs w:val="28"/>
          <w:u w:val="none"/>
          <w:bdr w:val="none" w:color="CC0000" w:sz="0" w:space="0"/>
          <w:shd w:val="clear" w:fill="FFFFFF"/>
        </w:rPr>
        <w:t xml:space="preserve">关于公益股权捐赠企业所得税政策问题的通知 </w:t>
      </w:r>
    </w:p>
    <w:p>
      <w:pPr>
        <w:keepNext w:val="0"/>
        <w:keepLines w:val="0"/>
        <w:widowControl/>
        <w:numPr>
          <w:ilvl w:val="0"/>
          <w:numId w:val="1"/>
        </w:numPr>
        <w:suppressLineNumbers w:val="0"/>
        <w:pBdr>
          <w:top w:val="none" w:color="333333" w:sz="0" w:space="0"/>
          <w:left w:val="none" w:color="333333" w:sz="0" w:space="0"/>
          <w:bottom w:val="none" w:color="333333" w:sz="0" w:space="0"/>
          <w:right w:val="none" w:color="333333" w:sz="0" w:space="0"/>
        </w:pBdr>
        <w:spacing w:before="0" w:beforeAutospacing="0" w:after="0" w:afterAutospacing="0" w:line="200" w:lineRule="atLeast"/>
        <w:ind w:left="0" w:right="0" w:hanging="360"/>
        <w:jc w:val="center"/>
        <w:rPr>
          <w:rFonts w:hint="eastAsia" w:ascii="楷体" w:hAnsi="楷体" w:eastAsia="楷体" w:cs="楷体"/>
          <w:sz w:val="28"/>
          <w:szCs w:val="28"/>
        </w:rPr>
      </w:pPr>
      <w:r>
        <w:rPr>
          <w:rFonts w:hint="eastAsia" w:ascii="楷体" w:hAnsi="楷体" w:eastAsia="楷体" w:cs="楷体"/>
          <w:i w:val="0"/>
          <w:caps w:val="0"/>
          <w:color w:val="333333"/>
          <w:spacing w:val="0"/>
          <w:sz w:val="28"/>
          <w:szCs w:val="28"/>
          <w:u w:val="none"/>
          <w:bdr w:val="none" w:color="333333" w:sz="0" w:space="0"/>
          <w:shd w:val="clear" w:fill="FFFFFF"/>
        </w:rPr>
        <w:t>财税〔2016〕45号</w:t>
      </w:r>
    </w:p>
    <w:p>
      <w:pPr>
        <w:pStyle w:val="2"/>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ind w:left="0" w:right="0" w:firstLine="0"/>
        <w:jc w:val="left"/>
        <w:rPr>
          <w:rFonts w:hint="eastAsia" w:ascii="楷体" w:hAnsi="楷体" w:eastAsia="楷体" w:cs="楷体"/>
          <w:i w:val="0"/>
          <w:caps w:val="0"/>
          <w:color w:val="333333"/>
          <w:spacing w:val="0"/>
          <w:sz w:val="28"/>
          <w:szCs w:val="28"/>
          <w:u w:val="none"/>
        </w:rPr>
      </w:pPr>
      <w:r>
        <w:rPr>
          <w:rFonts w:hint="eastAsia" w:ascii="楷体" w:hAnsi="楷体" w:eastAsia="楷体" w:cs="楷体"/>
          <w:i w:val="0"/>
          <w:caps w:val="0"/>
          <w:color w:val="333333"/>
          <w:spacing w:val="0"/>
          <w:sz w:val="28"/>
          <w:szCs w:val="28"/>
          <w:u w:val="none"/>
          <w:bdr w:val="none" w:color="auto" w:sz="0" w:space="0"/>
        </w:rPr>
        <w:t>各省、自治区、直辖市、计划单列市财政厅（局）、国家税务局、地方税务局，新疆生产建设兵团财务局：</w:t>
      </w:r>
    </w:p>
    <w:p>
      <w:pPr>
        <w:pStyle w:val="2"/>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ind w:left="0" w:right="0" w:firstLine="0"/>
        <w:jc w:val="left"/>
        <w:rPr>
          <w:rFonts w:hint="eastAsia" w:ascii="楷体" w:hAnsi="楷体" w:eastAsia="楷体" w:cs="楷体"/>
          <w:i w:val="0"/>
          <w:caps w:val="0"/>
          <w:color w:val="333333"/>
          <w:spacing w:val="0"/>
          <w:sz w:val="28"/>
          <w:szCs w:val="28"/>
          <w:u w:val="none"/>
        </w:rPr>
      </w:pPr>
      <w:r>
        <w:rPr>
          <w:rFonts w:hint="eastAsia" w:ascii="楷体" w:hAnsi="楷体" w:eastAsia="楷体" w:cs="楷体"/>
          <w:i w:val="0"/>
          <w:caps w:val="0"/>
          <w:color w:val="333333"/>
          <w:spacing w:val="0"/>
          <w:sz w:val="28"/>
          <w:szCs w:val="28"/>
          <w:u w:val="none"/>
          <w:bdr w:val="none" w:color="auto" w:sz="0" w:space="0"/>
        </w:rPr>
        <w:t>　　为支持和鼓励公益事业发展，根据《中华人民共和国企业所得税法》及其实施条例有关规定，经国务院批准，现将股权捐赠企业所得税政策问题通知如下：</w:t>
      </w:r>
    </w:p>
    <w:p>
      <w:pPr>
        <w:pStyle w:val="2"/>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ind w:left="0" w:right="0" w:firstLine="0"/>
        <w:jc w:val="left"/>
        <w:rPr>
          <w:rFonts w:hint="eastAsia" w:ascii="楷体" w:hAnsi="楷体" w:eastAsia="楷体" w:cs="楷体"/>
          <w:i w:val="0"/>
          <w:caps w:val="0"/>
          <w:color w:val="333333"/>
          <w:spacing w:val="0"/>
          <w:sz w:val="28"/>
          <w:szCs w:val="28"/>
          <w:u w:val="none"/>
        </w:rPr>
      </w:pPr>
      <w:r>
        <w:rPr>
          <w:rFonts w:hint="eastAsia" w:ascii="楷体" w:hAnsi="楷体" w:eastAsia="楷体" w:cs="楷体"/>
          <w:i w:val="0"/>
          <w:caps w:val="0"/>
          <w:color w:val="333333"/>
          <w:spacing w:val="0"/>
          <w:sz w:val="28"/>
          <w:szCs w:val="28"/>
          <w:u w:val="none"/>
          <w:bdr w:val="none" w:color="auto" w:sz="0" w:space="0"/>
        </w:rPr>
        <w:t>　　一、企业向公益性社会团体实施的股权捐赠，应按规定视同转让股权，股权转让收入额以企业所捐赠股权取得时的历史成本确定。</w:t>
      </w:r>
    </w:p>
    <w:p>
      <w:pPr>
        <w:pStyle w:val="2"/>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ind w:left="0" w:right="0" w:firstLine="0"/>
        <w:jc w:val="left"/>
        <w:rPr>
          <w:rFonts w:hint="eastAsia" w:ascii="楷体" w:hAnsi="楷体" w:eastAsia="楷体" w:cs="楷体"/>
          <w:i w:val="0"/>
          <w:caps w:val="0"/>
          <w:color w:val="333333"/>
          <w:spacing w:val="0"/>
          <w:sz w:val="28"/>
          <w:szCs w:val="28"/>
          <w:u w:val="none"/>
        </w:rPr>
      </w:pPr>
      <w:r>
        <w:rPr>
          <w:rFonts w:hint="eastAsia" w:ascii="楷体" w:hAnsi="楷体" w:eastAsia="楷体" w:cs="楷体"/>
          <w:i w:val="0"/>
          <w:caps w:val="0"/>
          <w:color w:val="333333"/>
          <w:spacing w:val="0"/>
          <w:sz w:val="28"/>
          <w:szCs w:val="28"/>
          <w:u w:val="none"/>
          <w:bdr w:val="none" w:color="auto" w:sz="0" w:space="0"/>
        </w:rPr>
        <w:t>　　前款所称的股权，是指企业持有的其他企业的股权、上市公司股票等。</w:t>
      </w:r>
    </w:p>
    <w:p>
      <w:pPr>
        <w:pStyle w:val="2"/>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ind w:left="0" w:right="0" w:firstLine="0"/>
        <w:jc w:val="left"/>
        <w:rPr>
          <w:rFonts w:hint="eastAsia" w:ascii="楷体" w:hAnsi="楷体" w:eastAsia="楷体" w:cs="楷体"/>
          <w:i w:val="0"/>
          <w:caps w:val="0"/>
          <w:color w:val="333333"/>
          <w:spacing w:val="0"/>
          <w:sz w:val="28"/>
          <w:szCs w:val="28"/>
          <w:u w:val="none"/>
        </w:rPr>
      </w:pPr>
      <w:r>
        <w:rPr>
          <w:rFonts w:hint="eastAsia" w:ascii="楷体" w:hAnsi="楷体" w:eastAsia="楷体" w:cs="楷体"/>
          <w:i w:val="0"/>
          <w:caps w:val="0"/>
          <w:color w:val="333333"/>
          <w:spacing w:val="0"/>
          <w:sz w:val="28"/>
          <w:szCs w:val="28"/>
          <w:u w:val="none"/>
          <w:bdr w:val="none" w:color="auto" w:sz="0" w:space="0"/>
        </w:rPr>
        <w:t>　　二、企业实施股权捐赠后，以其股权历史成本为依据确定捐赠额，并依此按照企业所得税法有关规定在所得税前予以扣除。公益性社会团体接受股权捐赠后，应按照捐赠企业提供的股权历史成本开具捐赠票据。</w:t>
      </w:r>
    </w:p>
    <w:p>
      <w:pPr>
        <w:pStyle w:val="2"/>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ind w:left="0" w:right="0" w:firstLine="0"/>
        <w:jc w:val="left"/>
        <w:rPr>
          <w:rFonts w:hint="eastAsia" w:ascii="楷体" w:hAnsi="楷体" w:eastAsia="楷体" w:cs="楷体"/>
          <w:i w:val="0"/>
          <w:caps w:val="0"/>
          <w:color w:val="333333"/>
          <w:spacing w:val="0"/>
          <w:sz w:val="28"/>
          <w:szCs w:val="28"/>
          <w:u w:val="none"/>
        </w:rPr>
      </w:pPr>
      <w:r>
        <w:rPr>
          <w:rFonts w:hint="eastAsia" w:ascii="楷体" w:hAnsi="楷体" w:eastAsia="楷体" w:cs="楷体"/>
          <w:i w:val="0"/>
          <w:caps w:val="0"/>
          <w:color w:val="333333"/>
          <w:spacing w:val="0"/>
          <w:sz w:val="28"/>
          <w:szCs w:val="28"/>
          <w:u w:val="none"/>
          <w:bdr w:val="none" w:color="auto" w:sz="0" w:space="0"/>
        </w:rPr>
        <w:t>　　三、本通知所称公益性社会团体，是指注册在中华人民共和国境内，以发展公益事业为宗旨、且不以营利为目的，并经确定为具有接受捐赠税前扣除资格的基金会、慈善组织等公益性社会团体。</w:t>
      </w:r>
    </w:p>
    <w:p>
      <w:pPr>
        <w:pStyle w:val="2"/>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ind w:left="0" w:right="0" w:firstLine="0"/>
        <w:jc w:val="left"/>
        <w:rPr>
          <w:rFonts w:hint="eastAsia" w:ascii="楷体" w:hAnsi="楷体" w:eastAsia="楷体" w:cs="楷体"/>
          <w:i w:val="0"/>
          <w:caps w:val="0"/>
          <w:color w:val="333333"/>
          <w:spacing w:val="0"/>
          <w:sz w:val="28"/>
          <w:szCs w:val="28"/>
          <w:u w:val="none"/>
        </w:rPr>
      </w:pPr>
      <w:r>
        <w:rPr>
          <w:rFonts w:hint="eastAsia" w:ascii="楷体" w:hAnsi="楷体" w:eastAsia="楷体" w:cs="楷体"/>
          <w:i w:val="0"/>
          <w:caps w:val="0"/>
          <w:color w:val="333333"/>
          <w:spacing w:val="0"/>
          <w:sz w:val="28"/>
          <w:szCs w:val="28"/>
          <w:u w:val="none"/>
          <w:bdr w:val="none" w:color="auto" w:sz="0" w:space="0"/>
        </w:rPr>
        <w:t>　　四、本通知所称股权捐赠行为，是指企业向中华人民共和国境内公益性社会团体实施的股权捐赠行为。企业向中华人民共和国境外的社会组织或团体实施的股权捐赠行为不适用本通知规定。</w:t>
      </w:r>
    </w:p>
    <w:p>
      <w:pPr>
        <w:pStyle w:val="2"/>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ind w:left="0" w:right="0" w:firstLine="0"/>
        <w:jc w:val="left"/>
        <w:rPr>
          <w:rFonts w:hint="eastAsia" w:ascii="楷体" w:hAnsi="楷体" w:eastAsia="楷体" w:cs="楷体"/>
          <w:i w:val="0"/>
          <w:caps w:val="0"/>
          <w:color w:val="333333"/>
          <w:spacing w:val="0"/>
          <w:sz w:val="28"/>
          <w:szCs w:val="28"/>
          <w:u w:val="none"/>
        </w:rPr>
      </w:pPr>
      <w:r>
        <w:rPr>
          <w:rFonts w:hint="eastAsia" w:ascii="楷体" w:hAnsi="楷体" w:eastAsia="楷体" w:cs="楷体"/>
          <w:i w:val="0"/>
          <w:caps w:val="0"/>
          <w:color w:val="333333"/>
          <w:spacing w:val="0"/>
          <w:sz w:val="28"/>
          <w:szCs w:val="28"/>
          <w:u w:val="none"/>
          <w:bdr w:val="none" w:color="auto" w:sz="0" w:space="0"/>
        </w:rPr>
        <w:t>　　五、本通知自2016年1月1日起执行。</w:t>
      </w:r>
    </w:p>
    <w:p>
      <w:pPr>
        <w:pStyle w:val="2"/>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ind w:left="0" w:right="0" w:firstLine="0"/>
        <w:jc w:val="left"/>
        <w:rPr>
          <w:rFonts w:hint="eastAsia" w:ascii="楷体" w:hAnsi="楷体" w:eastAsia="楷体" w:cs="楷体"/>
          <w:i w:val="0"/>
          <w:caps w:val="0"/>
          <w:color w:val="333333"/>
          <w:spacing w:val="0"/>
          <w:sz w:val="28"/>
          <w:szCs w:val="28"/>
          <w:u w:val="none"/>
        </w:rPr>
      </w:pPr>
      <w:r>
        <w:rPr>
          <w:rFonts w:hint="eastAsia" w:ascii="楷体" w:hAnsi="楷体" w:eastAsia="楷体" w:cs="楷体"/>
          <w:i w:val="0"/>
          <w:caps w:val="0"/>
          <w:color w:val="333333"/>
          <w:spacing w:val="0"/>
          <w:sz w:val="28"/>
          <w:szCs w:val="28"/>
          <w:u w:val="none"/>
          <w:bdr w:val="none" w:color="auto" w:sz="0" w:space="0"/>
        </w:rPr>
        <w:t>　　本通知发布前企业尚未进行税收处理的股权捐赠行为，符合本通知规定条件的可比照本通知执行，已经进行相关税收处理的不再进行税收调整。</w:t>
      </w:r>
    </w:p>
    <w:p>
      <w:pPr>
        <w:pStyle w:val="2"/>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ind w:left="0" w:right="0" w:firstLine="0"/>
        <w:jc w:val="left"/>
        <w:rPr>
          <w:rFonts w:hint="eastAsia" w:ascii="楷体" w:hAnsi="楷体" w:eastAsia="楷体" w:cs="楷体"/>
          <w:i w:val="0"/>
          <w:caps w:val="0"/>
          <w:color w:val="333333"/>
          <w:spacing w:val="0"/>
          <w:sz w:val="28"/>
          <w:szCs w:val="28"/>
          <w:u w:val="none"/>
        </w:rPr>
      </w:pPr>
      <w:r>
        <w:rPr>
          <w:rFonts w:hint="eastAsia" w:ascii="楷体" w:hAnsi="楷体" w:eastAsia="楷体" w:cs="楷体"/>
          <w:i w:val="0"/>
          <w:caps w:val="0"/>
          <w:color w:val="333333"/>
          <w:spacing w:val="0"/>
          <w:sz w:val="28"/>
          <w:szCs w:val="28"/>
          <w:u w:val="none"/>
          <w:bdr w:val="none" w:color="auto" w:sz="0" w:space="0"/>
        </w:rPr>
        <w:t>　　请遵照执行。</w:t>
      </w:r>
    </w:p>
    <w:p>
      <w:pPr>
        <w:pStyle w:val="2"/>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ind w:left="0" w:right="0" w:firstLine="0"/>
        <w:jc w:val="left"/>
        <w:rPr>
          <w:rFonts w:hint="eastAsia" w:ascii="楷体" w:hAnsi="楷体" w:eastAsia="楷体" w:cs="楷体"/>
          <w:i w:val="0"/>
          <w:caps w:val="0"/>
          <w:color w:val="333333"/>
          <w:spacing w:val="0"/>
          <w:sz w:val="28"/>
          <w:szCs w:val="28"/>
          <w:u w:val="none"/>
        </w:rPr>
      </w:pPr>
      <w:r>
        <w:rPr>
          <w:rFonts w:hint="eastAsia" w:ascii="楷体" w:hAnsi="楷体" w:eastAsia="楷体" w:cs="楷体"/>
          <w:i w:val="0"/>
          <w:caps w:val="0"/>
          <w:color w:val="333333"/>
          <w:spacing w:val="0"/>
          <w:sz w:val="28"/>
          <w:szCs w:val="28"/>
          <w:u w:val="none"/>
          <w:bdr w:val="none" w:color="auto" w:sz="0" w:space="0"/>
        </w:rPr>
        <w:t>　　</w:t>
      </w:r>
    </w:p>
    <w:p>
      <w:pPr>
        <w:pStyle w:val="2"/>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ind w:left="0" w:right="0" w:firstLine="0"/>
        <w:jc w:val="right"/>
        <w:rPr>
          <w:rFonts w:hint="eastAsia" w:ascii="楷体" w:hAnsi="楷体" w:eastAsia="楷体" w:cs="楷体"/>
          <w:i w:val="0"/>
          <w:caps w:val="0"/>
          <w:color w:val="333333"/>
          <w:spacing w:val="0"/>
          <w:sz w:val="28"/>
          <w:szCs w:val="28"/>
          <w:u w:val="none"/>
        </w:rPr>
      </w:pPr>
      <w:r>
        <w:rPr>
          <w:rFonts w:hint="eastAsia" w:ascii="楷体" w:hAnsi="楷体" w:eastAsia="楷体" w:cs="楷体"/>
          <w:i w:val="0"/>
          <w:caps w:val="0"/>
          <w:color w:val="333333"/>
          <w:spacing w:val="0"/>
          <w:sz w:val="28"/>
          <w:szCs w:val="28"/>
          <w:u w:val="none"/>
          <w:bdr w:val="none" w:color="auto" w:sz="0" w:space="0"/>
        </w:rPr>
        <w:t>　　财政部　国家税务总局</w:t>
      </w:r>
    </w:p>
    <w:p>
      <w:pPr>
        <w:pStyle w:val="2"/>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ind w:left="0" w:right="0" w:firstLine="0"/>
        <w:jc w:val="right"/>
        <w:rPr>
          <w:rFonts w:hint="eastAsia" w:ascii="楷体" w:hAnsi="楷体" w:eastAsia="楷体" w:cs="楷体"/>
          <w:i w:val="0"/>
          <w:caps w:val="0"/>
          <w:color w:val="333333"/>
          <w:spacing w:val="0"/>
          <w:sz w:val="28"/>
          <w:szCs w:val="28"/>
          <w:u w:val="none"/>
        </w:rPr>
      </w:pPr>
      <w:r>
        <w:rPr>
          <w:rFonts w:hint="eastAsia" w:ascii="楷体" w:hAnsi="楷体" w:eastAsia="楷体" w:cs="楷体"/>
          <w:i w:val="0"/>
          <w:caps w:val="0"/>
          <w:color w:val="333333"/>
          <w:spacing w:val="0"/>
          <w:sz w:val="28"/>
          <w:szCs w:val="28"/>
          <w:u w:val="none"/>
          <w:bdr w:val="none" w:color="auto" w:sz="0" w:space="0"/>
        </w:rPr>
        <w:t>　　2016年4月20日</w:t>
      </w:r>
    </w:p>
    <w:p>
      <w:pPr>
        <w:rPr>
          <w:rFonts w:hint="eastAsia" w:ascii="楷体" w:hAnsi="楷体" w:eastAsia="楷体" w:cs="楷体"/>
          <w:sz w:val="28"/>
          <w:szCs w:val="28"/>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8162D"/>
    <w:multiLevelType w:val="multilevel"/>
    <w:tmpl w:val="36F8162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8F5ACB"/>
    <w:rsid w:val="088F5AC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c18\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2018-07-07T04:48:00Z</dcterms:created>
  <dc:creator>刘亚超</dc:creator>
  <cp:lastModifiedBy>刘亚超</cp:lastModifiedBy>
  <dcterms:modified xsi:type="dcterms:W3CDTF">2018-07-07T04:48:57Z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